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0B302">
      <w:pPr>
        <w:ind w:left="7280" w:hanging="7280" w:hangingChars="2600"/>
        <w:rPr>
          <w:rFonts w:hint="default" w:ascii="宋体" w:hAnsi="宋体" w:eastAsia="宋体" w:cs="宋体"/>
          <w:b/>
          <w:color w:val="auto"/>
          <w:sz w:val="36"/>
          <w:highlight w:val="none"/>
          <w:lang w:val="en-US" w:eastAsia="zh-CN"/>
        </w:rPr>
      </w:pPr>
      <w:bookmarkStart w:id="0" w:name="_Toc528836789"/>
      <w:bookmarkStart w:id="1" w:name="_Toc528836790"/>
      <w:r>
        <w:rPr>
          <w:rFonts w:hint="eastAsia" w:ascii="宋体" w:hAnsi="宋体" w:eastAsia="宋体" w:cs="宋体"/>
          <w:color w:val="auto"/>
          <w:sz w:val="28"/>
          <w:highlight w:val="none"/>
        </w:rPr>
        <w:pict>
          <v:shape id="_x0000_i1025" o:spt="75" alt="图标" type="#_x0000_t75" style="height:63.75pt;width:78pt;" filled="f" o:preferrelative="t" stroked="f" coordsize="21600,21600">
            <v:path/>
            <v:fill on="f" focussize="0,0"/>
            <v:stroke on="f" joinstyle="miter"/>
            <v:imagedata r:id="rId6" o:title=""/>
            <o:lock v:ext="edit" aspectratio="t"/>
            <w10:wrap type="none"/>
            <w10:anchorlock/>
          </v:shape>
        </w:pict>
      </w:r>
      <w:r>
        <w:rPr>
          <w:rFonts w:hint="eastAsia" w:ascii="宋体" w:hAnsi="宋体" w:eastAsia="宋体" w:cs="宋体"/>
          <w:b/>
          <w:color w:val="auto"/>
          <w:sz w:val="36"/>
          <w:highlight w:val="none"/>
        </w:rPr>
        <w:t xml:space="preserve">                    </w:t>
      </w:r>
      <w:r>
        <w:rPr>
          <w:rFonts w:hint="eastAsia" w:ascii="宋体" w:hAnsi="宋体" w:eastAsia="宋体" w:cs="宋体"/>
          <w:b/>
          <w:color w:val="auto"/>
          <w:sz w:val="36"/>
          <w:highlight w:val="none"/>
          <w:lang w:val="en-US" w:eastAsia="zh-CN"/>
        </w:rPr>
        <w:t xml:space="preserve">    </w:t>
      </w:r>
      <w:r>
        <w:rPr>
          <w:rFonts w:hint="eastAsia" w:ascii="宋体" w:hAnsi="宋体" w:eastAsia="宋体" w:cs="宋体"/>
          <w:b/>
          <w:color w:val="auto"/>
          <w:sz w:val="36"/>
          <w:highlight w:val="none"/>
        </w:rPr>
        <w:t xml:space="preserve"> JSHCZB-202</w:t>
      </w:r>
      <w:r>
        <w:rPr>
          <w:rFonts w:hint="eastAsia" w:ascii="宋体" w:hAnsi="宋体" w:eastAsia="宋体" w:cs="宋体"/>
          <w:b/>
          <w:color w:val="auto"/>
          <w:sz w:val="36"/>
          <w:highlight w:val="none"/>
          <w:lang w:val="en-US" w:eastAsia="zh-CN"/>
        </w:rPr>
        <w:t>60</w:t>
      </w:r>
      <w:r>
        <w:rPr>
          <w:rFonts w:hint="eastAsia" w:ascii="宋体" w:hAnsi="宋体" w:cs="宋体"/>
          <w:b/>
          <w:color w:val="auto"/>
          <w:sz w:val="36"/>
          <w:highlight w:val="none"/>
          <w:lang w:val="en-US" w:eastAsia="zh-CN"/>
        </w:rPr>
        <w:t>264</w:t>
      </w:r>
    </w:p>
    <w:p w14:paraId="57BC7BE2">
      <w:pPr>
        <w:jc w:val="center"/>
        <w:rPr>
          <w:rFonts w:hint="eastAsia" w:ascii="宋体" w:hAnsi="宋体" w:eastAsia="宋体" w:cs="宋体"/>
          <w:b/>
          <w:color w:val="auto"/>
          <w:sz w:val="36"/>
          <w:highlight w:val="none"/>
        </w:rPr>
      </w:pPr>
    </w:p>
    <w:p w14:paraId="5068FA21">
      <w:pPr>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lang w:val="en-US" w:eastAsia="zh-CN"/>
        </w:rPr>
        <w:t>西区初中校南侧规划道路新建工程</w:t>
      </w:r>
      <w:r>
        <w:rPr>
          <w:rFonts w:hint="eastAsia" w:ascii="宋体" w:hAnsi="宋体" w:eastAsia="宋体" w:cs="宋体"/>
          <w:b/>
          <w:color w:val="auto"/>
          <w:sz w:val="36"/>
          <w:highlight w:val="none"/>
        </w:rPr>
        <w:t>监理</w:t>
      </w:r>
    </w:p>
    <w:p w14:paraId="195AE59B">
      <w:pPr>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竞争性磋商文件</w:t>
      </w:r>
    </w:p>
    <w:p w14:paraId="5EA8961F">
      <w:pPr>
        <w:jc w:val="center"/>
        <w:rPr>
          <w:rFonts w:hint="eastAsia" w:ascii="宋体" w:hAnsi="宋体" w:eastAsia="宋体" w:cs="宋体"/>
          <w:b/>
          <w:color w:val="auto"/>
          <w:sz w:val="36"/>
          <w:highlight w:val="none"/>
        </w:rPr>
      </w:pPr>
      <w:r>
        <w:rPr>
          <w:rFonts w:hint="eastAsia" w:ascii="宋体" w:hAnsi="宋体" w:eastAsia="宋体" w:cs="宋体"/>
          <w:color w:val="auto"/>
          <w:sz w:val="36"/>
          <w:highlight w:val="none"/>
        </w:rPr>
        <w:pict>
          <v:shape id="_x0000_i1026" o:spt="75" alt="微信图片_20180905155510" type="#_x0000_t75" style="height:300.75pt;width:432pt;" filled="f" o:preferrelative="t" stroked="f" coordsize="21600,21600">
            <v:path/>
            <v:fill on="f" focussize="0,0"/>
            <v:stroke on="f" joinstyle="miter"/>
            <v:imagedata r:id="rId7" o:title=""/>
            <o:lock v:ext="edit" aspectratio="t"/>
            <w10:wrap type="none"/>
            <w10:anchorlock/>
          </v:shape>
        </w:pict>
      </w:r>
    </w:p>
    <w:p w14:paraId="5738F423">
      <w:pPr>
        <w:jc w:val="center"/>
        <w:rPr>
          <w:rFonts w:hint="eastAsia" w:ascii="宋体" w:hAnsi="宋体" w:eastAsia="宋体" w:cs="宋体"/>
          <w:color w:val="auto"/>
          <w:sz w:val="36"/>
          <w:highlight w:val="none"/>
        </w:rPr>
      </w:pPr>
    </w:p>
    <w:p w14:paraId="4F6F74A7">
      <w:pPr>
        <w:ind w:firstLine="1012" w:firstLineChars="350"/>
        <w:jc w:val="left"/>
        <w:rPr>
          <w:rFonts w:hint="eastAsia" w:ascii="宋体" w:hAnsi="宋体" w:eastAsia="宋体" w:cs="宋体"/>
          <w:b/>
          <w:bCs/>
          <w:color w:val="auto"/>
          <w:w w:val="90"/>
          <w:kern w:val="0"/>
          <w:sz w:val="32"/>
          <w:szCs w:val="32"/>
          <w:highlight w:val="none"/>
        </w:rPr>
      </w:pPr>
      <w:r>
        <w:rPr>
          <w:rFonts w:hint="eastAsia" w:ascii="宋体" w:hAnsi="宋体" w:eastAsia="宋体" w:cs="宋体"/>
          <w:b/>
          <w:bCs/>
          <w:color w:val="auto"/>
          <w:w w:val="90"/>
          <w:kern w:val="0"/>
          <w:sz w:val="32"/>
          <w:szCs w:val="32"/>
          <w:highlight w:val="none"/>
        </w:rPr>
        <w:t>采  购  人：</w:t>
      </w:r>
      <w:r>
        <w:rPr>
          <w:rFonts w:hint="eastAsia" w:ascii="宋体" w:hAnsi="宋体" w:eastAsia="宋体" w:cs="宋体"/>
          <w:b/>
          <w:bCs/>
          <w:color w:val="auto"/>
          <w:w w:val="90"/>
          <w:kern w:val="0"/>
          <w:sz w:val="32"/>
          <w:szCs w:val="32"/>
          <w:highlight w:val="none"/>
          <w:lang w:val="en-US" w:eastAsia="zh-CN"/>
        </w:rPr>
        <w:t>扬州锦汇园林绿化工程有限公司</w:t>
      </w:r>
    </w:p>
    <w:p w14:paraId="15AF05E8">
      <w:pPr>
        <w:ind w:firstLine="1012" w:firstLineChars="350"/>
        <w:rPr>
          <w:rFonts w:hint="eastAsia" w:ascii="宋体" w:hAnsi="宋体" w:eastAsia="宋体" w:cs="宋体"/>
          <w:b/>
          <w:bCs/>
          <w:color w:val="auto"/>
          <w:w w:val="90"/>
          <w:kern w:val="0"/>
          <w:sz w:val="32"/>
          <w:szCs w:val="32"/>
          <w:highlight w:val="none"/>
        </w:rPr>
      </w:pPr>
      <w:r>
        <w:rPr>
          <w:rFonts w:hint="eastAsia" w:ascii="宋体" w:hAnsi="宋体" w:eastAsia="宋体" w:cs="宋体"/>
          <w:b/>
          <w:bCs/>
          <w:color w:val="auto"/>
          <w:w w:val="90"/>
          <w:kern w:val="0"/>
          <w:sz w:val="32"/>
          <w:szCs w:val="32"/>
          <w:highlight w:val="none"/>
        </w:rPr>
        <w:t>采购代理机构：江苏汇诚投资咨询管理有限公司</w:t>
      </w:r>
    </w:p>
    <w:p w14:paraId="32ECEA69">
      <w:pPr>
        <w:ind w:firstLine="1012" w:firstLineChars="350"/>
        <w:rPr>
          <w:rFonts w:hint="eastAsia" w:ascii="宋体" w:hAnsi="宋体" w:eastAsia="宋体" w:cs="宋体"/>
          <w:b/>
          <w:bCs/>
          <w:color w:val="auto"/>
          <w:w w:val="90"/>
          <w:kern w:val="0"/>
          <w:sz w:val="32"/>
          <w:szCs w:val="32"/>
          <w:highlight w:val="none"/>
        </w:rPr>
      </w:pPr>
      <w:r>
        <w:rPr>
          <w:rFonts w:hint="eastAsia" w:ascii="宋体" w:hAnsi="宋体" w:eastAsia="宋体" w:cs="宋体"/>
          <w:b/>
          <w:bCs/>
          <w:color w:val="auto"/>
          <w:w w:val="90"/>
          <w:kern w:val="0"/>
          <w:sz w:val="32"/>
          <w:szCs w:val="32"/>
          <w:highlight w:val="none"/>
        </w:rPr>
        <w:t>发 放 日 期：</w:t>
      </w:r>
      <w:bookmarkStart w:id="2" w:name="EB59c3faf64f2a4bd092a206fb1d0c3c03"/>
      <w:r>
        <w:rPr>
          <w:rFonts w:hint="eastAsia" w:ascii="宋体" w:hAnsi="宋体" w:eastAsia="宋体" w:cs="宋体"/>
          <w:b/>
          <w:bCs/>
          <w:color w:val="auto"/>
          <w:w w:val="90"/>
          <w:kern w:val="0"/>
          <w:sz w:val="32"/>
          <w:szCs w:val="32"/>
          <w:highlight w:val="none"/>
        </w:rPr>
        <w:t>202</w:t>
      </w:r>
      <w:r>
        <w:rPr>
          <w:rFonts w:hint="eastAsia" w:ascii="宋体" w:hAnsi="宋体" w:eastAsia="宋体" w:cs="宋体"/>
          <w:b/>
          <w:bCs/>
          <w:color w:val="auto"/>
          <w:w w:val="90"/>
          <w:kern w:val="0"/>
          <w:sz w:val="32"/>
          <w:szCs w:val="32"/>
          <w:highlight w:val="none"/>
          <w:lang w:val="en-US" w:eastAsia="zh-CN"/>
        </w:rPr>
        <w:t>6</w:t>
      </w:r>
      <w:r>
        <w:rPr>
          <w:rFonts w:hint="eastAsia" w:ascii="宋体" w:hAnsi="宋体" w:eastAsia="宋体" w:cs="宋体"/>
          <w:b/>
          <w:bCs/>
          <w:color w:val="auto"/>
          <w:w w:val="90"/>
          <w:kern w:val="0"/>
          <w:sz w:val="32"/>
          <w:szCs w:val="32"/>
          <w:highlight w:val="none"/>
        </w:rPr>
        <w:t>年</w:t>
      </w:r>
      <w:r>
        <w:rPr>
          <w:rFonts w:hint="eastAsia" w:ascii="宋体" w:hAnsi="宋体" w:cs="宋体"/>
          <w:b/>
          <w:bCs/>
          <w:color w:val="auto"/>
          <w:w w:val="90"/>
          <w:kern w:val="0"/>
          <w:sz w:val="32"/>
          <w:szCs w:val="32"/>
          <w:highlight w:val="none"/>
          <w:lang w:val="en-US" w:eastAsia="zh-CN"/>
        </w:rPr>
        <w:t>5</w:t>
      </w:r>
      <w:r>
        <w:rPr>
          <w:rFonts w:hint="eastAsia" w:ascii="宋体" w:hAnsi="宋体" w:eastAsia="宋体" w:cs="宋体"/>
          <w:b/>
          <w:bCs/>
          <w:color w:val="auto"/>
          <w:w w:val="90"/>
          <w:kern w:val="0"/>
          <w:sz w:val="32"/>
          <w:szCs w:val="32"/>
          <w:highlight w:val="none"/>
        </w:rPr>
        <w:t>月</w:t>
      </w:r>
      <w:r>
        <w:rPr>
          <w:rFonts w:hint="eastAsia" w:ascii="宋体" w:hAnsi="宋体" w:cs="宋体"/>
          <w:b/>
          <w:bCs/>
          <w:color w:val="auto"/>
          <w:w w:val="90"/>
          <w:kern w:val="0"/>
          <w:sz w:val="32"/>
          <w:szCs w:val="32"/>
          <w:highlight w:val="none"/>
          <w:lang w:val="en-US" w:eastAsia="zh-CN"/>
        </w:rPr>
        <w:t>9</w:t>
      </w:r>
      <w:r>
        <w:rPr>
          <w:rFonts w:hint="eastAsia" w:ascii="宋体" w:hAnsi="宋体" w:eastAsia="宋体" w:cs="宋体"/>
          <w:b/>
          <w:bCs/>
          <w:color w:val="auto"/>
          <w:w w:val="90"/>
          <w:kern w:val="0"/>
          <w:sz w:val="32"/>
          <w:szCs w:val="32"/>
          <w:highlight w:val="none"/>
        </w:rPr>
        <w:t>日</w:t>
      </w:r>
      <w:bookmarkEnd w:id="2"/>
      <w:r>
        <w:rPr>
          <w:rFonts w:hint="eastAsia" w:ascii="宋体" w:hAnsi="宋体" w:eastAsia="宋体" w:cs="宋体"/>
          <w:color w:val="auto"/>
          <w:sz w:val="36"/>
          <w:highlight w:val="none"/>
        </w:rPr>
        <w:br w:type="page"/>
      </w:r>
    </w:p>
    <w:p w14:paraId="455A5CB0">
      <w:pPr>
        <w:jc w:val="center"/>
        <w:rPr>
          <w:rFonts w:hint="eastAsia" w:ascii="宋体" w:hAnsi="宋体" w:eastAsia="宋体" w:cs="宋体"/>
          <w:b/>
          <w:color w:val="auto"/>
          <w:sz w:val="32"/>
          <w:highlight w:val="none"/>
        </w:rPr>
      </w:pPr>
    </w:p>
    <w:p w14:paraId="510F4DA5">
      <w:pPr>
        <w:jc w:val="center"/>
        <w:rPr>
          <w:rFonts w:hint="eastAsia" w:ascii="宋体" w:hAnsi="宋体" w:eastAsia="宋体" w:cs="宋体"/>
          <w:b/>
          <w:color w:val="auto"/>
          <w:sz w:val="32"/>
          <w:highlight w:val="none"/>
        </w:rPr>
      </w:pPr>
    </w:p>
    <w:p w14:paraId="7FF89152">
      <w:pPr>
        <w:jc w:val="center"/>
        <w:rPr>
          <w:rFonts w:hint="eastAsia" w:ascii="宋体" w:hAnsi="宋体" w:eastAsia="宋体" w:cs="宋体"/>
          <w:b/>
          <w:color w:val="auto"/>
          <w:sz w:val="32"/>
          <w:highlight w:val="none"/>
          <w:lang w:val="en-US" w:eastAsia="zh-CN"/>
        </w:rPr>
      </w:pPr>
      <w:r>
        <w:rPr>
          <w:rFonts w:hint="eastAsia" w:ascii="宋体" w:hAnsi="宋体" w:eastAsia="宋体" w:cs="宋体"/>
          <w:b/>
          <w:color w:val="auto"/>
          <w:sz w:val="32"/>
          <w:highlight w:val="none"/>
        </w:rPr>
        <w:t>目   录</w:t>
      </w:r>
    </w:p>
    <w:p w14:paraId="3A5F98DA">
      <w:pPr>
        <w:jc w:val="center"/>
        <w:rPr>
          <w:rFonts w:hint="eastAsia" w:ascii="宋体" w:hAnsi="宋体" w:eastAsia="宋体" w:cs="宋体"/>
          <w:b/>
          <w:color w:val="auto"/>
          <w:sz w:val="32"/>
          <w:highlight w:val="none"/>
        </w:rPr>
      </w:pPr>
    </w:p>
    <w:p w14:paraId="53C1A240">
      <w:pPr>
        <w:pStyle w:val="27"/>
        <w:tabs>
          <w:tab w:val="right" w:leader="dot" w:pos="8296"/>
        </w:tabs>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fldChar w:fldCharType="begin"/>
      </w:r>
      <w:r>
        <w:rPr>
          <w:rFonts w:hint="eastAsia" w:ascii="宋体" w:hAnsi="宋体" w:eastAsia="宋体" w:cs="宋体"/>
          <w:b/>
          <w:color w:val="auto"/>
          <w:sz w:val="28"/>
          <w:szCs w:val="28"/>
          <w:highlight w:val="none"/>
        </w:rPr>
        <w:instrText xml:space="preserve"> TOC \o "1-3" \f </w:instrText>
      </w:r>
      <w:r>
        <w:rPr>
          <w:rFonts w:hint="eastAsia" w:ascii="宋体" w:hAnsi="宋体" w:eastAsia="宋体" w:cs="宋体"/>
          <w:b/>
          <w:color w:val="auto"/>
          <w:sz w:val="28"/>
          <w:szCs w:val="28"/>
          <w:highlight w:val="none"/>
        </w:rPr>
        <w:fldChar w:fldCharType="separate"/>
      </w:r>
      <w:r>
        <w:rPr>
          <w:rFonts w:hint="eastAsia" w:ascii="宋体" w:hAnsi="宋体" w:eastAsia="宋体" w:cs="宋体"/>
          <w:b/>
          <w:color w:val="auto"/>
          <w:sz w:val="28"/>
          <w:szCs w:val="28"/>
          <w:highlight w:val="none"/>
        </w:rPr>
        <w:t>第一章  竞争性磋商公告</w:t>
      </w:r>
      <w:r>
        <w:rPr>
          <w:rFonts w:hint="eastAsia" w:ascii="宋体" w:hAnsi="宋体" w:eastAsia="宋体" w:cs="宋体"/>
          <w:b/>
          <w:color w:val="auto"/>
          <w:sz w:val="28"/>
          <w:szCs w:val="28"/>
          <w:highlight w:val="none"/>
        </w:rPr>
        <w:tab/>
      </w:r>
      <w:r>
        <w:rPr>
          <w:rFonts w:hint="eastAsia" w:ascii="宋体" w:hAnsi="宋体" w:eastAsia="宋体" w:cs="宋体"/>
          <w:b/>
          <w:color w:val="auto"/>
          <w:sz w:val="28"/>
          <w:szCs w:val="28"/>
          <w:highlight w:val="none"/>
        </w:rPr>
        <w:t>3</w:t>
      </w:r>
    </w:p>
    <w:p w14:paraId="6A82FD29">
      <w:pPr>
        <w:pStyle w:val="27"/>
        <w:tabs>
          <w:tab w:val="right" w:leader="dot" w:pos="8296"/>
        </w:tabs>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第二章  磋商须知</w:t>
      </w:r>
      <w:r>
        <w:rPr>
          <w:rFonts w:hint="eastAsia" w:ascii="宋体" w:hAnsi="宋体" w:eastAsia="宋体" w:cs="宋体"/>
          <w:b/>
          <w:color w:val="auto"/>
          <w:sz w:val="28"/>
          <w:szCs w:val="28"/>
          <w:highlight w:val="none"/>
        </w:rPr>
        <w:tab/>
      </w:r>
      <w:r>
        <w:rPr>
          <w:rFonts w:hint="eastAsia" w:ascii="宋体" w:hAnsi="宋体" w:cs="宋体"/>
          <w:b/>
          <w:color w:val="auto"/>
          <w:sz w:val="28"/>
          <w:szCs w:val="28"/>
          <w:highlight w:val="none"/>
          <w:lang w:val="en-US" w:eastAsia="zh-CN"/>
        </w:rPr>
        <w:t>7</w:t>
      </w:r>
    </w:p>
    <w:p w14:paraId="224C3099">
      <w:pPr>
        <w:pStyle w:val="27"/>
        <w:tabs>
          <w:tab w:val="right" w:leader="dot" w:pos="8296"/>
        </w:tabs>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第三章  合同条款及格式</w:t>
      </w:r>
      <w:r>
        <w:rPr>
          <w:rFonts w:hint="eastAsia" w:ascii="宋体" w:hAnsi="宋体" w:eastAsia="宋体" w:cs="宋体"/>
          <w:b/>
          <w:color w:val="auto"/>
          <w:sz w:val="28"/>
          <w:szCs w:val="28"/>
          <w:highlight w:val="none"/>
        </w:rPr>
        <w:tab/>
      </w:r>
      <w:r>
        <w:rPr>
          <w:rFonts w:hint="eastAsia" w:ascii="宋体" w:hAnsi="宋体" w:eastAsia="宋体" w:cs="宋体"/>
          <w:b/>
          <w:color w:val="auto"/>
          <w:sz w:val="28"/>
          <w:szCs w:val="28"/>
          <w:highlight w:val="none"/>
        </w:rPr>
        <w:t>1</w:t>
      </w:r>
      <w:r>
        <w:rPr>
          <w:rFonts w:hint="eastAsia" w:ascii="宋体" w:hAnsi="宋体" w:cs="宋体"/>
          <w:b/>
          <w:color w:val="auto"/>
          <w:sz w:val="28"/>
          <w:szCs w:val="28"/>
          <w:highlight w:val="none"/>
          <w:lang w:val="en-US" w:eastAsia="zh-CN"/>
        </w:rPr>
        <w:t>6</w:t>
      </w:r>
    </w:p>
    <w:p w14:paraId="35DDCDC0">
      <w:pPr>
        <w:pStyle w:val="27"/>
        <w:tabs>
          <w:tab w:val="right" w:leader="dot" w:pos="8296"/>
        </w:tabs>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第四章  项目需求</w:t>
      </w:r>
      <w:r>
        <w:rPr>
          <w:rFonts w:hint="eastAsia" w:ascii="宋体" w:hAnsi="宋体" w:eastAsia="宋体" w:cs="宋体"/>
          <w:b/>
          <w:color w:val="auto"/>
          <w:sz w:val="28"/>
          <w:szCs w:val="28"/>
          <w:highlight w:val="none"/>
        </w:rPr>
        <w:tab/>
      </w:r>
      <w:r>
        <w:rPr>
          <w:rFonts w:hint="eastAsia" w:ascii="宋体" w:hAnsi="宋体" w:cs="宋体"/>
          <w:b/>
          <w:color w:val="auto"/>
          <w:sz w:val="28"/>
          <w:szCs w:val="28"/>
          <w:highlight w:val="none"/>
          <w:lang w:val="en-US" w:eastAsia="zh-CN"/>
        </w:rPr>
        <w:t>39</w:t>
      </w:r>
    </w:p>
    <w:p w14:paraId="57A0E900">
      <w:pPr>
        <w:pStyle w:val="27"/>
        <w:tabs>
          <w:tab w:val="right" w:leader="dot" w:pos="8296"/>
        </w:tabs>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第五章  评审方法和评审标准</w:t>
      </w:r>
      <w:r>
        <w:rPr>
          <w:rFonts w:hint="eastAsia" w:ascii="宋体" w:hAnsi="宋体" w:eastAsia="宋体" w:cs="宋体"/>
          <w:b/>
          <w:color w:val="auto"/>
          <w:sz w:val="28"/>
          <w:szCs w:val="28"/>
          <w:highlight w:val="none"/>
        </w:rPr>
        <w:tab/>
      </w:r>
      <w:r>
        <w:rPr>
          <w:rFonts w:hint="eastAsia" w:ascii="宋体" w:hAnsi="宋体" w:eastAsia="宋体" w:cs="宋体"/>
          <w:b/>
          <w:color w:val="auto"/>
          <w:sz w:val="28"/>
          <w:szCs w:val="28"/>
          <w:highlight w:val="none"/>
        </w:rPr>
        <w:t>4</w:t>
      </w:r>
      <w:r>
        <w:rPr>
          <w:rFonts w:hint="eastAsia" w:ascii="宋体" w:hAnsi="宋体" w:cs="宋体"/>
          <w:b/>
          <w:color w:val="auto"/>
          <w:sz w:val="28"/>
          <w:szCs w:val="28"/>
          <w:highlight w:val="none"/>
          <w:lang w:val="en-US" w:eastAsia="zh-CN"/>
        </w:rPr>
        <w:t>3</w:t>
      </w:r>
    </w:p>
    <w:p w14:paraId="24126CBB">
      <w:pPr>
        <w:pStyle w:val="27"/>
        <w:tabs>
          <w:tab w:val="right" w:leader="dot" w:pos="8296"/>
        </w:tabs>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第六章  竞争性磋商响应文件格式</w:t>
      </w:r>
      <w:r>
        <w:rPr>
          <w:rFonts w:hint="eastAsia" w:ascii="宋体" w:hAnsi="宋体" w:eastAsia="宋体" w:cs="宋体"/>
          <w:b/>
          <w:color w:val="auto"/>
          <w:sz w:val="28"/>
          <w:szCs w:val="28"/>
          <w:highlight w:val="none"/>
        </w:rPr>
        <w:tab/>
      </w:r>
      <w:r>
        <w:rPr>
          <w:rFonts w:hint="eastAsia" w:ascii="宋体" w:hAnsi="宋体" w:cs="宋体"/>
          <w:b/>
          <w:color w:val="auto"/>
          <w:sz w:val="28"/>
          <w:szCs w:val="28"/>
          <w:highlight w:val="none"/>
          <w:lang w:val="en-US" w:eastAsia="zh-CN"/>
        </w:rPr>
        <w:t>46</w:t>
      </w:r>
    </w:p>
    <w:p w14:paraId="7D55C692">
      <w:pPr>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fldChar w:fldCharType="end"/>
      </w:r>
    </w:p>
    <w:p w14:paraId="2EB2B2B7">
      <w:pPr>
        <w:jc w:val="center"/>
        <w:rPr>
          <w:rFonts w:hint="eastAsia" w:ascii="宋体" w:hAnsi="宋体" w:eastAsia="宋体" w:cs="宋体"/>
          <w:color w:val="auto"/>
          <w:szCs w:val="21"/>
          <w:highlight w:val="none"/>
        </w:rPr>
      </w:pPr>
      <w:r>
        <w:rPr>
          <w:rFonts w:hint="eastAsia" w:ascii="宋体" w:hAnsi="宋体" w:eastAsia="宋体" w:cs="宋体"/>
          <w:color w:val="auto"/>
          <w:sz w:val="28"/>
          <w:highlight w:val="none"/>
        </w:rPr>
        <w:br w:type="page"/>
      </w:r>
      <w:r>
        <w:rPr>
          <w:rFonts w:hint="eastAsia" w:ascii="宋体" w:hAnsi="宋体" w:eastAsia="宋体" w:cs="宋体"/>
          <w:b/>
          <w:color w:val="auto"/>
          <w:sz w:val="36"/>
          <w:highlight w:val="none"/>
        </w:rPr>
        <w:t>第一章 竞争性磋商</w:t>
      </w:r>
      <w:bookmarkEnd w:id="0"/>
      <w:r>
        <w:rPr>
          <w:rFonts w:hint="eastAsia" w:ascii="宋体" w:hAnsi="宋体" w:eastAsia="宋体" w:cs="宋体"/>
          <w:b/>
          <w:color w:val="auto"/>
          <w:sz w:val="36"/>
          <w:highlight w:val="none"/>
        </w:rPr>
        <w:t>公告</w:t>
      </w:r>
    </w:p>
    <w:p w14:paraId="6063E348">
      <w:pPr>
        <w:keepNext w:val="0"/>
        <w:keepLines w:val="0"/>
        <w:pageBreakBefore w:val="0"/>
        <w:kinsoku/>
        <w:wordWrap/>
        <w:overflowPunct/>
        <w:topLinePunct w:val="0"/>
        <w:autoSpaceDE/>
        <w:autoSpaceDN/>
        <w:bidi w:val="0"/>
        <w:spacing w:line="360" w:lineRule="auto"/>
        <w:ind w:firstLine="420" w:firstLineChars="200"/>
        <w:textAlignment w:val="auto"/>
        <w:outlineLvl w:val="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江苏汇诚投资咨询管理有限公司受</w:t>
      </w:r>
      <w:r>
        <w:rPr>
          <w:rFonts w:hint="eastAsia" w:ascii="宋体" w:hAnsi="宋体" w:eastAsia="宋体" w:cs="宋体"/>
          <w:color w:val="auto"/>
          <w:sz w:val="21"/>
          <w:szCs w:val="21"/>
          <w:highlight w:val="none"/>
          <w:lang w:val="en-US" w:eastAsia="zh-CN"/>
        </w:rPr>
        <w:t>扬州锦汇园林绿化工程有限公司</w:t>
      </w:r>
      <w:r>
        <w:rPr>
          <w:rFonts w:hint="eastAsia" w:ascii="宋体" w:hAnsi="宋体" w:eastAsia="宋体" w:cs="宋体"/>
          <w:color w:val="auto"/>
          <w:sz w:val="21"/>
          <w:szCs w:val="21"/>
          <w:highlight w:val="none"/>
        </w:rPr>
        <w:t>的委托，就</w:t>
      </w:r>
      <w:r>
        <w:rPr>
          <w:rFonts w:hint="eastAsia" w:ascii="宋体" w:hAnsi="宋体" w:eastAsia="宋体" w:cs="宋体"/>
          <w:color w:val="auto"/>
          <w:sz w:val="21"/>
          <w:szCs w:val="21"/>
          <w:highlight w:val="none"/>
          <w:lang w:val="en-US" w:eastAsia="zh-CN"/>
        </w:rPr>
        <w:t>西区初中校南侧规划道路新建工程监理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JSHCZ</w:t>
      </w:r>
      <w:r>
        <w:rPr>
          <w:rFonts w:hint="eastAsia" w:ascii="宋体" w:hAnsi="宋体" w:eastAsia="宋体" w:cs="宋体"/>
          <w:color w:val="auto"/>
          <w:sz w:val="21"/>
          <w:szCs w:val="21"/>
          <w:highlight w:val="none"/>
        </w:rPr>
        <w:t>B</w:t>
      </w:r>
      <w:r>
        <w:rPr>
          <w:rFonts w:hint="eastAsia" w:ascii="宋体" w:hAnsi="宋体" w:eastAsia="宋体" w:cs="宋体"/>
          <w:color w:val="auto"/>
          <w:sz w:val="21"/>
          <w:szCs w:val="21"/>
          <w:highlight w:val="none"/>
          <w:lang w:val="zh-CN"/>
        </w:rPr>
        <w:t>-202</w:t>
      </w:r>
      <w:r>
        <w:rPr>
          <w:rFonts w:hint="eastAsia" w:ascii="宋体" w:hAnsi="宋体" w:eastAsia="宋体" w:cs="宋体"/>
          <w:color w:val="auto"/>
          <w:sz w:val="21"/>
          <w:szCs w:val="21"/>
          <w:highlight w:val="none"/>
          <w:lang w:val="en-US" w:eastAsia="zh-CN"/>
        </w:rPr>
        <w:t>60</w:t>
      </w:r>
      <w:r>
        <w:rPr>
          <w:rFonts w:hint="eastAsia" w:ascii="宋体" w:hAnsi="宋体" w:cs="宋体"/>
          <w:color w:val="auto"/>
          <w:sz w:val="21"/>
          <w:szCs w:val="21"/>
          <w:highlight w:val="none"/>
          <w:lang w:val="en-US" w:eastAsia="zh-CN"/>
        </w:rPr>
        <w:t>264</w:t>
      </w:r>
      <w:r>
        <w:rPr>
          <w:rFonts w:hint="eastAsia" w:ascii="宋体" w:hAnsi="宋体" w:eastAsia="宋体" w:cs="宋体"/>
          <w:color w:val="auto"/>
          <w:sz w:val="21"/>
          <w:szCs w:val="21"/>
          <w:highlight w:val="none"/>
        </w:rPr>
        <w:t>）进行竞争性磋商采购，现欢迎符合相关条件的供应商参加磋商。</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4EF84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9962" w:type="dxa"/>
          </w:tcPr>
          <w:p w14:paraId="2B34D4F7">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56FFE1D0">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val="en-US" w:eastAsia="zh-CN"/>
              </w:rPr>
              <w:t>西区初中校南侧规划道路新建工程监理</w:t>
            </w:r>
            <w:r>
              <w:rPr>
                <w:rFonts w:hint="eastAsia" w:ascii="宋体" w:hAnsi="宋体" w:eastAsia="宋体" w:cs="宋体"/>
                <w:color w:val="auto"/>
                <w:sz w:val="21"/>
                <w:szCs w:val="21"/>
                <w:highlight w:val="none"/>
              </w:rPr>
              <w:t>采购的潜在供应商可在</w:t>
            </w:r>
            <w:r>
              <w:rPr>
                <w:rFonts w:hint="eastAsia" w:ascii="宋体" w:hAnsi="宋体" w:eastAsia="宋体" w:cs="宋体"/>
                <w:color w:val="auto"/>
                <w:sz w:val="21"/>
                <w:szCs w:val="21"/>
                <w:highlight w:val="none"/>
                <w:u w:val="single"/>
                <w:lang w:eastAsia="zh-CN"/>
              </w:rPr>
              <w:t>“扬州市公共资源交易平台邗江分中心国企采购栏目”、“扬州维扬发展投资有限公司网站”</w:t>
            </w:r>
            <w:r>
              <w:rPr>
                <w:rFonts w:hint="eastAsia" w:ascii="宋体" w:hAnsi="宋体" w:eastAsia="宋体" w:cs="宋体"/>
                <w:color w:val="auto"/>
                <w:sz w:val="21"/>
                <w:szCs w:val="21"/>
                <w:highlight w:val="none"/>
              </w:rPr>
              <w:t>获取竞争性磋商文件，并于</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6</w:t>
            </w:r>
            <w:r>
              <w:rPr>
                <w:rFonts w:hint="eastAsia" w:ascii="宋体" w:hAnsi="宋体" w:eastAsia="宋体" w:cs="宋体"/>
                <w:bCs/>
                <w:color w:val="auto"/>
                <w:sz w:val="21"/>
                <w:szCs w:val="21"/>
                <w:highlight w:val="none"/>
                <w:u w:val="single"/>
              </w:rPr>
              <w:t>年</w:t>
            </w:r>
            <w:r>
              <w:rPr>
                <w:rFonts w:hint="eastAsia" w:ascii="宋体" w:hAnsi="宋体" w:cs="宋体"/>
                <w:bCs/>
                <w:color w:val="auto"/>
                <w:sz w:val="21"/>
                <w:szCs w:val="21"/>
                <w:highlight w:val="none"/>
                <w:u w:val="single"/>
                <w:lang w:val="en-US" w:eastAsia="zh-CN"/>
              </w:rPr>
              <w:t>5</w:t>
            </w:r>
            <w:r>
              <w:rPr>
                <w:rFonts w:hint="eastAsia" w:ascii="宋体" w:hAnsi="宋体" w:eastAsia="宋体" w:cs="宋体"/>
                <w:bCs/>
                <w:color w:val="auto"/>
                <w:sz w:val="21"/>
                <w:szCs w:val="21"/>
                <w:highlight w:val="none"/>
                <w:u w:val="single"/>
              </w:rPr>
              <w:t>月</w:t>
            </w:r>
            <w:r>
              <w:rPr>
                <w:rFonts w:hint="eastAsia" w:ascii="宋体" w:hAnsi="宋体" w:cs="宋体"/>
                <w:bCs/>
                <w:color w:val="auto"/>
                <w:sz w:val="21"/>
                <w:szCs w:val="21"/>
                <w:highlight w:val="none"/>
                <w:u w:val="single"/>
                <w:lang w:val="en-US" w:eastAsia="zh-CN"/>
              </w:rPr>
              <w:t>21</w:t>
            </w:r>
            <w:r>
              <w:rPr>
                <w:rFonts w:hint="eastAsia" w:ascii="宋体" w:hAnsi="宋体" w:eastAsia="宋体" w:cs="宋体"/>
                <w:bCs/>
                <w:color w:val="auto"/>
                <w:sz w:val="21"/>
                <w:szCs w:val="21"/>
                <w:highlight w:val="none"/>
                <w:u w:val="single"/>
              </w:rPr>
              <w:t>日</w:t>
            </w:r>
            <w:r>
              <w:rPr>
                <w:rFonts w:hint="eastAsia" w:ascii="宋体" w:hAnsi="宋体" w:eastAsia="宋体" w:cs="宋体"/>
                <w:bCs/>
                <w:color w:val="auto"/>
                <w:sz w:val="21"/>
                <w:szCs w:val="21"/>
                <w:highlight w:val="none"/>
                <w:u w:val="single"/>
                <w:lang w:val="en-US" w:eastAsia="zh-CN"/>
              </w:rPr>
              <w:t>9</w:t>
            </w:r>
            <w:r>
              <w:rPr>
                <w:rFonts w:hint="eastAsia" w:ascii="宋体" w:hAnsi="宋体" w:eastAsia="宋体" w:cs="宋体"/>
                <w:bCs/>
                <w:color w:val="auto"/>
                <w:sz w:val="21"/>
                <w:szCs w:val="21"/>
                <w:highlight w:val="none"/>
                <w:u w:val="single"/>
              </w:rPr>
              <w:t>点</w:t>
            </w:r>
            <w:r>
              <w:rPr>
                <w:rFonts w:hint="eastAsia" w:ascii="宋体" w:hAnsi="宋体" w:eastAsia="宋体" w:cs="宋体"/>
                <w:bCs/>
                <w:color w:val="auto"/>
                <w:sz w:val="21"/>
                <w:szCs w:val="21"/>
                <w:highlight w:val="none"/>
                <w:u w:val="single"/>
                <w:lang w:val="en-US" w:eastAsia="zh-CN"/>
              </w:rPr>
              <w:t>3</w:t>
            </w:r>
            <w:r>
              <w:rPr>
                <w:rFonts w:hint="eastAsia" w:ascii="宋体" w:hAnsi="宋体" w:eastAsia="宋体" w:cs="宋体"/>
                <w:bCs/>
                <w:color w:val="auto"/>
                <w:sz w:val="21"/>
                <w:szCs w:val="21"/>
                <w:highlight w:val="none"/>
                <w:u w:val="single"/>
              </w:rPr>
              <w:t>0分</w:t>
            </w:r>
            <w:r>
              <w:rPr>
                <w:rFonts w:hint="eastAsia" w:ascii="宋体" w:hAnsi="宋体" w:eastAsia="宋体" w:cs="宋体"/>
                <w:bCs/>
                <w:color w:val="auto"/>
                <w:sz w:val="21"/>
                <w:szCs w:val="21"/>
                <w:highlight w:val="none"/>
              </w:rPr>
              <w:t>（北京时间）前递交响应文件</w:t>
            </w:r>
            <w:r>
              <w:rPr>
                <w:rFonts w:hint="eastAsia" w:ascii="宋体" w:hAnsi="宋体" w:eastAsia="宋体" w:cs="宋体"/>
                <w:color w:val="auto"/>
                <w:sz w:val="21"/>
                <w:szCs w:val="21"/>
                <w:highlight w:val="none"/>
              </w:rPr>
              <w:t>。</w:t>
            </w:r>
          </w:p>
        </w:tc>
      </w:tr>
    </w:tbl>
    <w:p w14:paraId="0B7ADCE2">
      <w:pPr>
        <w:keepNext w:val="0"/>
        <w:keepLines w:val="0"/>
        <w:pageBreakBefore w:val="0"/>
        <w:tabs>
          <w:tab w:val="left" w:pos="900"/>
        </w:tabs>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一、项目基本情况</w:t>
      </w:r>
    </w:p>
    <w:p w14:paraId="10059835">
      <w:pPr>
        <w:keepNext w:val="0"/>
        <w:keepLines w:val="0"/>
        <w:pageBreakBefore w:val="0"/>
        <w:kinsoku/>
        <w:wordWrap/>
        <w:overflowPunct/>
        <w:topLinePunct w:val="0"/>
        <w:autoSpaceDE/>
        <w:autoSpaceDN/>
        <w:bidi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1、项目编号：JSHCZ</w:t>
      </w:r>
      <w:r>
        <w:rPr>
          <w:rFonts w:hint="eastAsia" w:ascii="宋体" w:hAnsi="宋体" w:eastAsia="宋体" w:cs="宋体"/>
          <w:color w:val="auto"/>
          <w:sz w:val="21"/>
          <w:szCs w:val="21"/>
          <w:highlight w:val="none"/>
        </w:rPr>
        <w:t>B</w:t>
      </w:r>
      <w:r>
        <w:rPr>
          <w:rFonts w:hint="eastAsia" w:ascii="宋体" w:hAnsi="宋体" w:eastAsia="宋体" w:cs="宋体"/>
          <w:color w:val="auto"/>
          <w:sz w:val="21"/>
          <w:szCs w:val="21"/>
          <w:highlight w:val="none"/>
          <w:lang w:val="zh-CN"/>
        </w:rPr>
        <w:t>-202</w:t>
      </w:r>
      <w:r>
        <w:rPr>
          <w:rFonts w:hint="eastAsia" w:ascii="宋体" w:hAnsi="宋体" w:eastAsia="宋体" w:cs="宋体"/>
          <w:color w:val="auto"/>
          <w:sz w:val="21"/>
          <w:szCs w:val="21"/>
          <w:highlight w:val="none"/>
          <w:lang w:val="en-US" w:eastAsia="zh-CN"/>
        </w:rPr>
        <w:t>60264</w:t>
      </w:r>
    </w:p>
    <w:p w14:paraId="01F90AED">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2、项目名称：</w:t>
      </w:r>
      <w:r>
        <w:rPr>
          <w:rFonts w:hint="eastAsia" w:ascii="宋体" w:hAnsi="宋体" w:eastAsia="宋体" w:cs="宋体"/>
          <w:color w:val="auto"/>
          <w:sz w:val="21"/>
          <w:szCs w:val="21"/>
          <w:highlight w:val="none"/>
          <w:lang w:val="en-US" w:eastAsia="zh-CN"/>
        </w:rPr>
        <w:t>西区初中校南侧规划道路新建工程监理</w:t>
      </w:r>
    </w:p>
    <w:p w14:paraId="7DB8FF45">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3、采购方式：竞争性磋商    </w:t>
      </w:r>
    </w:p>
    <w:p w14:paraId="2FF14BF9">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、本项目设定</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rPr>
        <w:t>最高限价，</w:t>
      </w:r>
      <w:r>
        <w:rPr>
          <w:rFonts w:hint="eastAsia" w:ascii="宋体" w:hAnsi="宋体" w:eastAsia="宋体" w:cs="宋体"/>
          <w:color w:val="auto"/>
          <w:sz w:val="21"/>
          <w:szCs w:val="21"/>
          <w:highlight w:val="none"/>
        </w:rPr>
        <w:t>最高限价</w:t>
      </w:r>
      <w:r>
        <w:rPr>
          <w:rFonts w:hint="eastAsia" w:ascii="宋体" w:hAnsi="宋体" w:eastAsia="宋体" w:cs="宋体"/>
          <w:color w:val="auto"/>
          <w:sz w:val="21"/>
          <w:szCs w:val="21"/>
          <w:highlight w:val="none"/>
          <w:lang w:val="en-US" w:eastAsia="zh-CN"/>
        </w:rPr>
        <w:t>人民币20.23</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，报价超过</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最高限价的为无效报价，按照无效响应处理。</w:t>
      </w:r>
    </w:p>
    <w:p w14:paraId="1C9AB995">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、采购需求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简介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：具体详见磋商文件第四章</w:t>
      </w:r>
    </w:p>
    <w:p w14:paraId="44D0C028">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、合同履行期限：同施工工期及缺陷服务期，其中施工工期为</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日历天。</w:t>
      </w:r>
    </w:p>
    <w:p w14:paraId="71BE6431">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bookmarkStart w:id="3" w:name="_Toc28359003"/>
      <w:bookmarkStart w:id="4" w:name="_Toc35393622"/>
      <w:bookmarkStart w:id="5" w:name="_Toc38985264"/>
      <w:bookmarkStart w:id="6" w:name="_Toc28359080"/>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、本项目不接受联合体参加磋商。</w:t>
      </w:r>
      <w:bookmarkEnd w:id="3"/>
      <w:bookmarkEnd w:id="4"/>
      <w:bookmarkEnd w:id="5"/>
      <w:bookmarkEnd w:id="6"/>
    </w:p>
    <w:p w14:paraId="694F7804">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、投标供应商应自行进行现场勘察以获取投标的相关信息。</w:t>
      </w:r>
    </w:p>
    <w:p w14:paraId="3C197D69">
      <w:pPr>
        <w:keepNext w:val="0"/>
        <w:keepLines w:val="0"/>
        <w:pageBreakBefore w:val="0"/>
        <w:widowControl/>
        <w:kinsoku/>
        <w:wordWrap/>
        <w:overflowPunct/>
        <w:topLinePunct w:val="0"/>
        <w:autoSpaceDE/>
        <w:autoSpaceDN/>
        <w:bidi w:val="0"/>
        <w:snapToGrid w:val="0"/>
        <w:spacing w:line="360" w:lineRule="auto"/>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二、申请人的资格要求</w:t>
      </w:r>
    </w:p>
    <w:p w14:paraId="25B047E8">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1、满足以下规定，并提供下列材料：</w:t>
      </w:r>
    </w:p>
    <w:p w14:paraId="33B9943C">
      <w:pPr>
        <w:keepNext w:val="0"/>
        <w:keepLines w:val="0"/>
        <w:pageBreakBefore w:val="0"/>
        <w:kinsoku/>
        <w:wordWrap/>
        <w:overflowPunct/>
        <w:topLinePunct w:val="0"/>
        <w:autoSpaceDE/>
        <w:autoSpaceDN/>
        <w:bidi w:val="0"/>
        <w:spacing w:line="360" w:lineRule="auto"/>
        <w:ind w:firstLine="420" w:firstLineChars="200"/>
        <w:textAlignment w:val="auto"/>
        <w:outlineLvl w:val="0"/>
        <w:rPr>
          <w:rFonts w:hint="eastAsia" w:ascii="宋体" w:hAnsi="宋体" w:eastAsia="宋体" w:cs="宋体"/>
          <w:i/>
          <w:color w:val="auto"/>
          <w:sz w:val="21"/>
          <w:szCs w:val="21"/>
          <w:highlight w:val="none"/>
          <w:u w:val="single"/>
        </w:rPr>
      </w:pPr>
      <w:r>
        <w:rPr>
          <w:rFonts w:hint="eastAsia" w:ascii="宋体" w:hAnsi="宋体" w:eastAsia="宋体" w:cs="宋体"/>
          <w:i/>
          <w:color w:val="auto"/>
          <w:sz w:val="21"/>
          <w:szCs w:val="21"/>
          <w:highlight w:val="none"/>
          <w:u w:val="single"/>
        </w:rPr>
        <w:t>1.1磋商响应函</w:t>
      </w:r>
      <w:r>
        <w:rPr>
          <w:rFonts w:hint="eastAsia" w:ascii="宋体" w:hAnsi="宋体" w:eastAsia="宋体" w:cs="宋体"/>
          <w:b/>
          <w:i/>
          <w:color w:val="auto"/>
          <w:sz w:val="21"/>
          <w:szCs w:val="21"/>
          <w:highlight w:val="none"/>
          <w:u w:val="single"/>
        </w:rPr>
        <w:t>(原件)</w:t>
      </w:r>
    </w:p>
    <w:p w14:paraId="48E696D0">
      <w:pPr>
        <w:keepNext w:val="0"/>
        <w:keepLines w:val="0"/>
        <w:pageBreakBefore w:val="0"/>
        <w:kinsoku/>
        <w:wordWrap/>
        <w:overflowPunct/>
        <w:topLinePunct w:val="0"/>
        <w:autoSpaceDE/>
        <w:autoSpaceDN/>
        <w:bidi w:val="0"/>
        <w:spacing w:line="360" w:lineRule="auto"/>
        <w:ind w:firstLine="420" w:firstLineChars="200"/>
        <w:textAlignment w:val="auto"/>
        <w:outlineLvl w:val="0"/>
        <w:rPr>
          <w:rFonts w:hint="eastAsia" w:ascii="宋体" w:hAnsi="宋体" w:eastAsia="宋体" w:cs="宋体"/>
          <w:i/>
          <w:color w:val="auto"/>
          <w:sz w:val="21"/>
          <w:szCs w:val="21"/>
          <w:highlight w:val="none"/>
          <w:u w:val="single"/>
        </w:rPr>
      </w:pPr>
      <w:r>
        <w:rPr>
          <w:rFonts w:hint="eastAsia" w:ascii="宋体" w:hAnsi="宋体" w:eastAsia="宋体" w:cs="宋体"/>
          <w:i/>
          <w:color w:val="auto"/>
          <w:sz w:val="21"/>
          <w:szCs w:val="21"/>
          <w:highlight w:val="none"/>
          <w:u w:val="single"/>
        </w:rPr>
        <w:t>1.2资格声明</w:t>
      </w:r>
      <w:r>
        <w:rPr>
          <w:rFonts w:hint="eastAsia" w:ascii="宋体" w:hAnsi="宋体" w:eastAsia="宋体" w:cs="宋体"/>
          <w:b/>
          <w:i/>
          <w:color w:val="auto"/>
          <w:sz w:val="21"/>
          <w:szCs w:val="21"/>
          <w:highlight w:val="none"/>
          <w:u w:val="single"/>
        </w:rPr>
        <w:t>(原件)</w:t>
      </w:r>
    </w:p>
    <w:p w14:paraId="36C87299">
      <w:pPr>
        <w:keepNext w:val="0"/>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b/>
          <w:bCs/>
          <w:i/>
          <w:color w:val="auto"/>
          <w:sz w:val="21"/>
          <w:szCs w:val="21"/>
          <w:highlight w:val="none"/>
          <w:u w:val="single"/>
        </w:rPr>
      </w:pPr>
      <w:r>
        <w:rPr>
          <w:rFonts w:hint="eastAsia" w:ascii="宋体" w:hAnsi="宋体" w:eastAsia="宋体" w:cs="宋体"/>
          <w:i/>
          <w:color w:val="auto"/>
          <w:sz w:val="21"/>
          <w:szCs w:val="21"/>
          <w:highlight w:val="none"/>
          <w:u w:val="single"/>
        </w:rPr>
        <w:t>1.3若法定代表人参加磋商的，须提供本人身份证</w:t>
      </w:r>
      <w:r>
        <w:rPr>
          <w:rFonts w:hint="eastAsia" w:ascii="宋体" w:hAnsi="宋体" w:eastAsia="宋体" w:cs="宋体"/>
          <w:b/>
          <w:bCs/>
          <w:i/>
          <w:color w:val="auto"/>
          <w:sz w:val="21"/>
          <w:szCs w:val="21"/>
          <w:highlight w:val="none"/>
          <w:u w:val="single"/>
        </w:rPr>
        <w:t>（复印件</w:t>
      </w:r>
      <w:r>
        <w:rPr>
          <w:rFonts w:hint="eastAsia" w:ascii="宋体" w:hAnsi="宋体" w:eastAsia="宋体" w:cs="宋体"/>
          <w:b/>
          <w:bCs/>
          <w:i/>
          <w:iCs/>
          <w:color w:val="auto"/>
          <w:sz w:val="21"/>
          <w:szCs w:val="21"/>
          <w:highlight w:val="none"/>
          <w:u w:val="single"/>
        </w:rPr>
        <w:t>加盖供应商公章，</w:t>
      </w:r>
      <w:r>
        <w:rPr>
          <w:rFonts w:hint="eastAsia" w:ascii="宋体" w:hAnsi="宋体" w:eastAsia="宋体" w:cs="宋体"/>
          <w:b/>
          <w:bCs/>
          <w:i/>
          <w:color w:val="auto"/>
          <w:sz w:val="21"/>
          <w:szCs w:val="21"/>
          <w:highlight w:val="none"/>
          <w:u w:val="single"/>
        </w:rPr>
        <w:t>原件备查)</w:t>
      </w:r>
      <w:r>
        <w:rPr>
          <w:rFonts w:hint="eastAsia" w:ascii="宋体" w:hAnsi="宋体" w:eastAsia="宋体" w:cs="宋体"/>
          <w:i/>
          <w:color w:val="auto"/>
          <w:sz w:val="21"/>
          <w:szCs w:val="21"/>
          <w:highlight w:val="none"/>
          <w:u w:val="single"/>
        </w:rPr>
        <w:t>；若授权代表参加的，须提供《法人授权书》</w:t>
      </w:r>
      <w:r>
        <w:rPr>
          <w:rFonts w:hint="eastAsia" w:ascii="宋体" w:hAnsi="宋体" w:eastAsia="宋体" w:cs="宋体"/>
          <w:b/>
          <w:i/>
          <w:color w:val="auto"/>
          <w:sz w:val="21"/>
          <w:szCs w:val="21"/>
          <w:highlight w:val="none"/>
          <w:u w:val="single"/>
        </w:rPr>
        <w:t>原件</w:t>
      </w:r>
      <w:r>
        <w:rPr>
          <w:rFonts w:hint="eastAsia" w:ascii="宋体" w:hAnsi="宋体" w:eastAsia="宋体" w:cs="宋体"/>
          <w:i/>
          <w:color w:val="auto"/>
          <w:sz w:val="21"/>
          <w:szCs w:val="21"/>
          <w:highlight w:val="none"/>
          <w:u w:val="single"/>
        </w:rPr>
        <w:t>、被授权人身份证</w:t>
      </w:r>
      <w:r>
        <w:rPr>
          <w:rFonts w:hint="eastAsia" w:ascii="宋体" w:hAnsi="宋体" w:eastAsia="宋体" w:cs="宋体"/>
          <w:b/>
          <w:bCs/>
          <w:i/>
          <w:color w:val="auto"/>
          <w:sz w:val="21"/>
          <w:szCs w:val="21"/>
          <w:highlight w:val="none"/>
          <w:u w:val="single"/>
        </w:rPr>
        <w:t>（复印件</w:t>
      </w:r>
      <w:r>
        <w:rPr>
          <w:rFonts w:hint="eastAsia" w:ascii="宋体" w:hAnsi="宋体" w:eastAsia="宋体" w:cs="宋体"/>
          <w:b/>
          <w:bCs/>
          <w:i/>
          <w:iCs/>
          <w:color w:val="auto"/>
          <w:sz w:val="21"/>
          <w:szCs w:val="21"/>
          <w:highlight w:val="none"/>
          <w:u w:val="single"/>
        </w:rPr>
        <w:t>加盖供应商公章，</w:t>
      </w:r>
      <w:r>
        <w:rPr>
          <w:rFonts w:hint="eastAsia" w:ascii="宋体" w:hAnsi="宋体" w:eastAsia="宋体" w:cs="宋体"/>
          <w:b/>
          <w:bCs/>
          <w:i/>
          <w:color w:val="auto"/>
          <w:sz w:val="21"/>
          <w:szCs w:val="21"/>
          <w:highlight w:val="none"/>
          <w:u w:val="single"/>
        </w:rPr>
        <w:t>原件备查）</w:t>
      </w:r>
    </w:p>
    <w:p w14:paraId="1E042FE1">
      <w:pPr>
        <w:keepNext w:val="0"/>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i/>
          <w:color w:val="auto"/>
          <w:sz w:val="21"/>
          <w:szCs w:val="21"/>
          <w:highlight w:val="none"/>
          <w:u w:val="single"/>
        </w:rPr>
      </w:pPr>
      <w:r>
        <w:rPr>
          <w:rFonts w:hint="eastAsia" w:ascii="宋体" w:hAnsi="宋体" w:eastAsia="宋体" w:cs="宋体"/>
          <w:i/>
          <w:color w:val="auto"/>
          <w:sz w:val="21"/>
          <w:szCs w:val="21"/>
          <w:highlight w:val="none"/>
          <w:u w:val="single"/>
        </w:rPr>
        <w:t>1.4营业执照副本</w:t>
      </w:r>
      <w:r>
        <w:rPr>
          <w:rFonts w:hint="eastAsia" w:ascii="宋体" w:hAnsi="宋体" w:eastAsia="宋体" w:cs="宋体"/>
          <w:b/>
          <w:i/>
          <w:color w:val="auto"/>
          <w:sz w:val="21"/>
          <w:szCs w:val="21"/>
          <w:highlight w:val="none"/>
          <w:u w:val="single"/>
        </w:rPr>
        <w:t>(复印件加盖供应商公章)</w:t>
      </w:r>
    </w:p>
    <w:p w14:paraId="5C5F52D3">
      <w:pPr>
        <w:keepNext w:val="0"/>
        <w:keepLines w:val="0"/>
        <w:pageBreakBefore w:val="0"/>
        <w:kinsoku/>
        <w:wordWrap/>
        <w:overflowPunct/>
        <w:topLinePunct w:val="0"/>
        <w:autoSpaceDE/>
        <w:autoSpaceDN/>
        <w:bidi w:val="0"/>
        <w:spacing w:line="360" w:lineRule="auto"/>
        <w:ind w:left="0" w:right="0" w:firstLine="404" w:firstLineChars="200"/>
        <w:textAlignment w:val="auto"/>
        <w:rPr>
          <w:rFonts w:hint="eastAsia" w:ascii="宋体" w:hAnsi="宋体" w:eastAsia="宋体" w:cs="宋体"/>
          <w:i/>
          <w:color w:val="auto"/>
          <w:spacing w:val="-4"/>
          <w:sz w:val="21"/>
          <w:szCs w:val="21"/>
          <w:highlight w:val="none"/>
          <w:u w:val="single"/>
        </w:rPr>
      </w:pPr>
      <w:r>
        <w:rPr>
          <w:rFonts w:hint="eastAsia" w:ascii="宋体" w:hAnsi="宋体" w:eastAsia="宋体" w:cs="宋体"/>
          <w:i/>
          <w:color w:val="auto"/>
          <w:spacing w:val="-4"/>
          <w:sz w:val="21"/>
          <w:szCs w:val="21"/>
          <w:highlight w:val="none"/>
          <w:u w:val="single"/>
        </w:rPr>
        <w:t>1.5依法缴纳职工社会保障资金的证明材料</w:t>
      </w:r>
      <w:r>
        <w:rPr>
          <w:rFonts w:hint="eastAsia" w:ascii="宋体" w:hAnsi="宋体" w:eastAsia="宋体" w:cs="宋体"/>
          <w:b/>
          <w:i/>
          <w:color w:val="auto"/>
          <w:spacing w:val="-4"/>
          <w:sz w:val="21"/>
          <w:szCs w:val="21"/>
          <w:highlight w:val="none"/>
          <w:u w:val="single"/>
        </w:rPr>
        <w:t>(复印件加盖供应商公章)(税务、银行或社会保险基金管理部门出具的近三个月（</w:t>
      </w:r>
      <w:r>
        <w:rPr>
          <w:rFonts w:hint="eastAsia" w:ascii="宋体" w:hAnsi="宋体" w:eastAsia="宋体" w:cs="宋体"/>
          <w:b/>
          <w:i/>
          <w:color w:val="auto"/>
          <w:spacing w:val="-4"/>
          <w:sz w:val="21"/>
          <w:szCs w:val="21"/>
          <w:highlight w:val="none"/>
          <w:u w:val="single"/>
          <w:lang w:eastAsia="zh-CN"/>
        </w:rPr>
        <w:t>2026年</w:t>
      </w:r>
      <w:r>
        <w:rPr>
          <w:rFonts w:hint="eastAsia" w:ascii="宋体" w:hAnsi="宋体" w:cs="宋体"/>
          <w:b/>
          <w:i/>
          <w:color w:val="auto"/>
          <w:spacing w:val="-4"/>
          <w:sz w:val="21"/>
          <w:szCs w:val="21"/>
          <w:highlight w:val="none"/>
          <w:u w:val="single"/>
          <w:lang w:val="en-US" w:eastAsia="zh-CN"/>
        </w:rPr>
        <w:t>2</w:t>
      </w:r>
      <w:r>
        <w:rPr>
          <w:rFonts w:hint="eastAsia" w:ascii="宋体" w:hAnsi="宋体" w:eastAsia="宋体" w:cs="宋体"/>
          <w:b/>
          <w:i/>
          <w:color w:val="auto"/>
          <w:spacing w:val="-4"/>
          <w:sz w:val="21"/>
          <w:szCs w:val="21"/>
          <w:highlight w:val="none"/>
          <w:u w:val="single"/>
          <w:lang w:eastAsia="zh-CN"/>
        </w:rPr>
        <w:t>月-2026年</w:t>
      </w:r>
      <w:r>
        <w:rPr>
          <w:rFonts w:hint="eastAsia" w:ascii="宋体" w:hAnsi="宋体" w:cs="宋体"/>
          <w:b/>
          <w:i/>
          <w:color w:val="auto"/>
          <w:spacing w:val="-4"/>
          <w:sz w:val="21"/>
          <w:szCs w:val="21"/>
          <w:highlight w:val="none"/>
          <w:u w:val="single"/>
          <w:lang w:val="en-US" w:eastAsia="zh-CN"/>
        </w:rPr>
        <w:t>4</w:t>
      </w:r>
      <w:r>
        <w:rPr>
          <w:rFonts w:hint="eastAsia" w:ascii="宋体" w:hAnsi="宋体" w:eastAsia="宋体" w:cs="宋体"/>
          <w:b/>
          <w:i/>
          <w:color w:val="auto"/>
          <w:spacing w:val="-4"/>
          <w:sz w:val="21"/>
          <w:szCs w:val="21"/>
          <w:highlight w:val="none"/>
          <w:u w:val="single"/>
          <w:lang w:eastAsia="zh-CN"/>
        </w:rPr>
        <w:t>月</w:t>
      </w:r>
      <w:r>
        <w:rPr>
          <w:rFonts w:hint="eastAsia" w:ascii="宋体" w:hAnsi="宋体" w:eastAsia="宋体" w:cs="宋体"/>
          <w:b/>
          <w:i/>
          <w:color w:val="auto"/>
          <w:spacing w:val="-4"/>
          <w:sz w:val="21"/>
          <w:szCs w:val="21"/>
          <w:highlight w:val="none"/>
          <w:u w:val="single"/>
        </w:rPr>
        <w:t>）内任意一个月缴纳职工社会保障资金的缴款凭证或缴款证明)</w:t>
      </w:r>
    </w:p>
    <w:p w14:paraId="52D0F263">
      <w:pPr>
        <w:keepNext w:val="0"/>
        <w:keepLines w:val="0"/>
        <w:pageBreakBefore w:val="0"/>
        <w:kinsoku/>
        <w:wordWrap/>
        <w:overflowPunct/>
        <w:topLinePunct w:val="0"/>
        <w:autoSpaceDE/>
        <w:autoSpaceDN/>
        <w:bidi w:val="0"/>
        <w:spacing w:line="360" w:lineRule="auto"/>
        <w:ind w:left="0" w:right="0" w:firstLine="396" w:firstLineChars="200"/>
        <w:textAlignment w:val="auto"/>
        <w:rPr>
          <w:rFonts w:hint="eastAsia" w:ascii="宋体" w:hAnsi="宋体" w:eastAsia="宋体" w:cs="宋体"/>
          <w:b/>
          <w:i/>
          <w:color w:val="auto"/>
          <w:spacing w:val="-6"/>
          <w:sz w:val="21"/>
          <w:szCs w:val="21"/>
          <w:highlight w:val="none"/>
          <w:u w:val="single"/>
        </w:rPr>
      </w:pPr>
      <w:r>
        <w:rPr>
          <w:rFonts w:hint="eastAsia" w:ascii="宋体" w:hAnsi="宋体" w:eastAsia="宋体" w:cs="宋体"/>
          <w:i/>
          <w:color w:val="auto"/>
          <w:spacing w:val="-6"/>
          <w:sz w:val="21"/>
          <w:szCs w:val="21"/>
          <w:highlight w:val="none"/>
          <w:u w:val="single"/>
        </w:rPr>
        <w:t>1.6供应商</w:t>
      </w:r>
      <w:r>
        <w:rPr>
          <w:rFonts w:hint="eastAsia" w:ascii="宋体" w:hAnsi="宋体" w:eastAsia="宋体" w:cs="宋体"/>
          <w:b/>
          <w:i/>
          <w:color w:val="auto"/>
          <w:spacing w:val="-4"/>
          <w:sz w:val="21"/>
          <w:szCs w:val="21"/>
          <w:highlight w:val="none"/>
          <w:u w:val="single"/>
        </w:rPr>
        <w:t>近三个月（</w:t>
      </w:r>
      <w:r>
        <w:rPr>
          <w:rFonts w:hint="eastAsia" w:ascii="宋体" w:hAnsi="宋体" w:eastAsia="宋体" w:cs="宋体"/>
          <w:b/>
          <w:i/>
          <w:color w:val="auto"/>
          <w:spacing w:val="-4"/>
          <w:sz w:val="21"/>
          <w:szCs w:val="21"/>
          <w:highlight w:val="none"/>
          <w:u w:val="single"/>
          <w:lang w:eastAsia="zh-CN"/>
        </w:rPr>
        <w:t>2026年</w:t>
      </w:r>
      <w:r>
        <w:rPr>
          <w:rFonts w:hint="eastAsia" w:ascii="宋体" w:hAnsi="宋体" w:cs="宋体"/>
          <w:b/>
          <w:i/>
          <w:color w:val="auto"/>
          <w:spacing w:val="-4"/>
          <w:sz w:val="21"/>
          <w:szCs w:val="21"/>
          <w:highlight w:val="none"/>
          <w:u w:val="single"/>
          <w:lang w:val="en-US" w:eastAsia="zh-CN"/>
        </w:rPr>
        <w:t>2</w:t>
      </w:r>
      <w:r>
        <w:rPr>
          <w:rFonts w:hint="eastAsia" w:ascii="宋体" w:hAnsi="宋体" w:eastAsia="宋体" w:cs="宋体"/>
          <w:b/>
          <w:i/>
          <w:color w:val="auto"/>
          <w:spacing w:val="-4"/>
          <w:sz w:val="21"/>
          <w:szCs w:val="21"/>
          <w:highlight w:val="none"/>
          <w:u w:val="single"/>
          <w:lang w:eastAsia="zh-CN"/>
        </w:rPr>
        <w:t>月-2026年</w:t>
      </w:r>
      <w:r>
        <w:rPr>
          <w:rFonts w:hint="eastAsia" w:ascii="宋体" w:hAnsi="宋体" w:cs="宋体"/>
          <w:b/>
          <w:i/>
          <w:color w:val="auto"/>
          <w:spacing w:val="-4"/>
          <w:sz w:val="21"/>
          <w:szCs w:val="21"/>
          <w:highlight w:val="none"/>
          <w:u w:val="single"/>
          <w:lang w:val="en-US" w:eastAsia="zh-CN"/>
        </w:rPr>
        <w:t>4</w:t>
      </w:r>
      <w:r>
        <w:rPr>
          <w:rFonts w:hint="eastAsia" w:ascii="宋体" w:hAnsi="宋体" w:eastAsia="宋体" w:cs="宋体"/>
          <w:b/>
          <w:i/>
          <w:color w:val="auto"/>
          <w:spacing w:val="-4"/>
          <w:sz w:val="21"/>
          <w:szCs w:val="21"/>
          <w:highlight w:val="none"/>
          <w:u w:val="single"/>
          <w:lang w:eastAsia="zh-CN"/>
        </w:rPr>
        <w:t>月</w:t>
      </w:r>
      <w:r>
        <w:rPr>
          <w:rFonts w:hint="eastAsia" w:ascii="宋体" w:hAnsi="宋体" w:eastAsia="宋体" w:cs="宋体"/>
          <w:b/>
          <w:i/>
          <w:color w:val="auto"/>
          <w:spacing w:val="-4"/>
          <w:sz w:val="21"/>
          <w:szCs w:val="21"/>
          <w:highlight w:val="none"/>
          <w:u w:val="single"/>
        </w:rPr>
        <w:t>）</w:t>
      </w:r>
      <w:r>
        <w:rPr>
          <w:rFonts w:hint="eastAsia" w:ascii="宋体" w:hAnsi="宋体" w:eastAsia="宋体" w:cs="宋体"/>
          <w:b/>
          <w:i/>
          <w:color w:val="auto"/>
          <w:spacing w:val="-6"/>
          <w:sz w:val="21"/>
          <w:szCs w:val="21"/>
          <w:highlight w:val="none"/>
          <w:u w:val="single"/>
        </w:rPr>
        <w:t>内</w:t>
      </w:r>
      <w:r>
        <w:rPr>
          <w:rFonts w:hint="eastAsia" w:ascii="宋体" w:hAnsi="宋体" w:eastAsia="宋体" w:cs="宋体"/>
          <w:i/>
          <w:color w:val="auto"/>
          <w:spacing w:val="-6"/>
          <w:sz w:val="21"/>
          <w:szCs w:val="21"/>
          <w:highlight w:val="none"/>
          <w:u w:val="single"/>
        </w:rPr>
        <w:t>任意一个月依法纳税的缴款凭证</w:t>
      </w:r>
      <w:r>
        <w:rPr>
          <w:rFonts w:hint="eastAsia" w:ascii="宋体" w:hAnsi="宋体" w:eastAsia="宋体" w:cs="宋体"/>
          <w:b/>
          <w:bCs/>
          <w:i/>
          <w:color w:val="auto"/>
          <w:spacing w:val="-6"/>
          <w:sz w:val="21"/>
          <w:szCs w:val="21"/>
          <w:highlight w:val="none"/>
          <w:u w:val="single"/>
        </w:rPr>
        <w:t>(复印件加盖供应商公章)</w:t>
      </w:r>
    </w:p>
    <w:p w14:paraId="434FD855">
      <w:pPr>
        <w:keepNext w:val="0"/>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i/>
          <w:color w:val="auto"/>
          <w:sz w:val="21"/>
          <w:szCs w:val="21"/>
          <w:highlight w:val="none"/>
          <w:u w:val="single"/>
        </w:rPr>
      </w:pPr>
      <w:r>
        <w:rPr>
          <w:rFonts w:hint="eastAsia" w:ascii="宋体" w:hAnsi="宋体" w:eastAsia="宋体" w:cs="宋体"/>
          <w:i/>
          <w:color w:val="auto"/>
          <w:sz w:val="21"/>
          <w:szCs w:val="21"/>
          <w:highlight w:val="none"/>
          <w:u w:val="single"/>
        </w:rPr>
        <w:t>1.7</w:t>
      </w:r>
      <w:r>
        <w:rPr>
          <w:rFonts w:hint="eastAsia" w:ascii="宋体" w:hAnsi="宋体" w:eastAsia="宋体" w:cs="宋体"/>
          <w:i/>
          <w:color w:val="auto"/>
          <w:kern w:val="0"/>
          <w:sz w:val="21"/>
          <w:szCs w:val="21"/>
          <w:highlight w:val="none"/>
          <w:u w:val="single"/>
          <w:lang w:val="en-US" w:eastAsia="zh-CN"/>
        </w:rPr>
        <w:t>供应商上一</w:t>
      </w:r>
      <w:r>
        <w:rPr>
          <w:rFonts w:hint="eastAsia" w:ascii="宋体" w:hAnsi="宋体" w:eastAsia="宋体" w:cs="宋体"/>
          <w:i/>
          <w:color w:val="auto"/>
          <w:kern w:val="0"/>
          <w:sz w:val="21"/>
          <w:szCs w:val="21"/>
          <w:highlight w:val="none"/>
          <w:u w:val="single"/>
        </w:rPr>
        <w:t>年度财务</w:t>
      </w:r>
      <w:r>
        <w:rPr>
          <w:rFonts w:hint="eastAsia" w:ascii="宋体" w:hAnsi="宋体" w:eastAsia="宋体" w:cs="宋体"/>
          <w:i/>
          <w:color w:val="auto"/>
          <w:kern w:val="0"/>
          <w:sz w:val="21"/>
          <w:szCs w:val="21"/>
          <w:highlight w:val="none"/>
          <w:u w:val="single"/>
          <w:lang w:val="en-US" w:eastAsia="zh-CN"/>
        </w:rPr>
        <w:t>状况</w:t>
      </w:r>
      <w:r>
        <w:rPr>
          <w:rFonts w:hint="eastAsia" w:ascii="宋体" w:hAnsi="宋体" w:eastAsia="宋体" w:cs="宋体"/>
          <w:i/>
          <w:color w:val="auto"/>
          <w:kern w:val="0"/>
          <w:sz w:val="21"/>
          <w:szCs w:val="21"/>
          <w:highlight w:val="none"/>
          <w:u w:val="single"/>
        </w:rPr>
        <w:t>报告</w:t>
      </w:r>
      <w:r>
        <w:rPr>
          <w:rFonts w:hint="eastAsia" w:ascii="宋体" w:hAnsi="宋体" w:eastAsia="宋体" w:cs="宋体"/>
          <w:i/>
          <w:color w:val="auto"/>
          <w:sz w:val="21"/>
          <w:szCs w:val="21"/>
          <w:highlight w:val="none"/>
          <w:u w:val="single"/>
        </w:rPr>
        <w:t>（成立不满一年不需提供</w:t>
      </w:r>
      <w:r>
        <w:rPr>
          <w:rFonts w:hint="eastAsia" w:ascii="宋体" w:hAnsi="宋体" w:eastAsia="宋体" w:cs="宋体"/>
          <w:i/>
          <w:color w:val="auto"/>
          <w:sz w:val="21"/>
          <w:szCs w:val="21"/>
          <w:highlight w:val="none"/>
          <w:u w:val="single"/>
          <w:lang w:eastAsia="zh-CN"/>
        </w:rPr>
        <w:t>，</w:t>
      </w:r>
      <w:r>
        <w:rPr>
          <w:rFonts w:hint="eastAsia" w:ascii="宋体" w:hAnsi="宋体" w:eastAsia="宋体" w:cs="宋体"/>
          <w:i/>
          <w:color w:val="auto"/>
          <w:sz w:val="21"/>
          <w:szCs w:val="21"/>
          <w:highlight w:val="none"/>
          <w:u w:val="single"/>
        </w:rPr>
        <w:t>如2025年度财务状况报告未出，可提供2024年财务状况报告）</w:t>
      </w:r>
      <w:r>
        <w:rPr>
          <w:rFonts w:hint="eastAsia" w:ascii="宋体" w:hAnsi="宋体" w:eastAsia="宋体" w:cs="宋体"/>
          <w:b/>
          <w:i/>
          <w:color w:val="auto"/>
          <w:sz w:val="21"/>
          <w:szCs w:val="21"/>
          <w:highlight w:val="none"/>
          <w:u w:val="single"/>
        </w:rPr>
        <w:t>(复印件加盖供应商公章)</w:t>
      </w:r>
    </w:p>
    <w:p w14:paraId="17ECE64F">
      <w:pPr>
        <w:keepNext w:val="0"/>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b/>
          <w:bCs/>
          <w:i/>
          <w:color w:val="auto"/>
          <w:sz w:val="21"/>
          <w:szCs w:val="21"/>
          <w:highlight w:val="none"/>
          <w:u w:val="single"/>
        </w:rPr>
      </w:pPr>
      <w:r>
        <w:rPr>
          <w:rFonts w:hint="eastAsia" w:ascii="宋体" w:hAnsi="宋体" w:eastAsia="宋体" w:cs="宋体"/>
          <w:i/>
          <w:color w:val="auto"/>
          <w:sz w:val="21"/>
          <w:szCs w:val="21"/>
          <w:highlight w:val="none"/>
          <w:u w:val="single"/>
        </w:rPr>
        <w:t>1.8供应商参加本次采购活动前3年内在经营活动中没有重大违法记录的书面声明</w:t>
      </w:r>
      <w:r>
        <w:rPr>
          <w:rFonts w:hint="eastAsia" w:ascii="宋体" w:hAnsi="宋体" w:eastAsia="宋体" w:cs="宋体"/>
          <w:b/>
          <w:bCs/>
          <w:i/>
          <w:color w:val="auto"/>
          <w:sz w:val="21"/>
          <w:szCs w:val="21"/>
          <w:highlight w:val="none"/>
          <w:u w:val="single"/>
        </w:rPr>
        <w:t>（原件）</w:t>
      </w:r>
    </w:p>
    <w:p w14:paraId="13301F5A">
      <w:pPr>
        <w:keepNext w:val="0"/>
        <w:keepLines w:val="0"/>
        <w:pageBreakBefore w:val="0"/>
        <w:kinsoku/>
        <w:wordWrap/>
        <w:overflowPunct/>
        <w:topLinePunct w:val="0"/>
        <w:autoSpaceDE/>
        <w:autoSpaceDN/>
        <w:bidi w:val="0"/>
        <w:adjustRightInd w:val="0"/>
        <w:snapToGrid w:val="0"/>
        <w:spacing w:line="360" w:lineRule="auto"/>
        <w:ind w:left="0" w:right="0" w:firstLine="420" w:firstLineChars="200"/>
        <w:textAlignment w:val="auto"/>
        <w:rPr>
          <w:rFonts w:hint="eastAsia" w:ascii="宋体" w:hAnsi="宋体" w:eastAsia="宋体" w:cs="宋体"/>
          <w:b/>
          <w:i/>
          <w:color w:val="auto"/>
          <w:spacing w:val="-6"/>
          <w:sz w:val="21"/>
          <w:szCs w:val="21"/>
          <w:highlight w:val="none"/>
          <w:u w:val="single"/>
        </w:rPr>
      </w:pPr>
      <w:bookmarkStart w:id="7" w:name="_Toc28359004"/>
      <w:bookmarkStart w:id="8" w:name="_Toc38985265"/>
      <w:r>
        <w:rPr>
          <w:rFonts w:hint="eastAsia" w:ascii="宋体" w:hAnsi="宋体" w:eastAsia="宋体" w:cs="宋体"/>
          <w:bCs/>
          <w:i/>
          <w:color w:val="auto"/>
          <w:sz w:val="21"/>
          <w:szCs w:val="21"/>
          <w:highlight w:val="none"/>
          <w:u w:val="single"/>
        </w:rPr>
        <w:t>1</w:t>
      </w:r>
      <w:r>
        <w:rPr>
          <w:rFonts w:hint="eastAsia" w:ascii="宋体" w:hAnsi="宋体" w:eastAsia="宋体" w:cs="宋体"/>
          <w:i/>
          <w:color w:val="auto"/>
          <w:sz w:val="21"/>
          <w:szCs w:val="21"/>
          <w:highlight w:val="none"/>
          <w:u w:val="single"/>
        </w:rPr>
        <w:t>.9未被“信用中国”网站、“中国政府采购网”列入失信被执行人、重大税收违法案件当事人名单、政府采购严重违法失信行为记录名单</w:t>
      </w:r>
      <w:bookmarkEnd w:id="7"/>
      <w:bookmarkEnd w:id="8"/>
      <w:r>
        <w:rPr>
          <w:rFonts w:hint="eastAsia" w:ascii="宋体" w:hAnsi="宋体" w:eastAsia="宋体" w:cs="宋体"/>
          <w:b/>
          <w:i/>
          <w:color w:val="auto"/>
          <w:spacing w:val="-6"/>
          <w:sz w:val="21"/>
          <w:szCs w:val="21"/>
          <w:highlight w:val="none"/>
          <w:u w:val="single"/>
        </w:rPr>
        <w:t>（提供网页查询截图并加盖供应商公章，查询时间为自磋商公告发布至开标截止时间前任意时间）</w:t>
      </w:r>
    </w:p>
    <w:p w14:paraId="4CD0EAD5">
      <w:pPr>
        <w:keepNext w:val="0"/>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i/>
          <w:color w:val="auto"/>
          <w:sz w:val="21"/>
          <w:szCs w:val="21"/>
          <w:highlight w:val="none"/>
          <w:u w:val="single"/>
        </w:rPr>
        <w:t>1.10供应商信用承诺函</w:t>
      </w:r>
      <w:r>
        <w:rPr>
          <w:rFonts w:hint="eastAsia" w:ascii="宋体" w:hAnsi="宋体" w:eastAsia="宋体" w:cs="宋体"/>
          <w:b/>
          <w:bCs/>
          <w:i/>
          <w:color w:val="auto"/>
          <w:sz w:val="21"/>
          <w:szCs w:val="21"/>
          <w:highlight w:val="none"/>
          <w:u w:val="single"/>
        </w:rPr>
        <w:t>（原件）</w:t>
      </w:r>
    </w:p>
    <w:p w14:paraId="74C99246">
      <w:pPr>
        <w:keepNext w:val="0"/>
        <w:keepLines w:val="0"/>
        <w:pageBreakBefore w:val="0"/>
        <w:kinsoku/>
        <w:wordWrap/>
        <w:overflowPunct/>
        <w:topLinePunct w:val="0"/>
        <w:autoSpaceDE/>
        <w:autoSpaceDN/>
        <w:bidi w:val="0"/>
        <w:adjustRightInd/>
        <w:snapToGrid w:val="0"/>
        <w:spacing w:line="360" w:lineRule="auto"/>
        <w:ind w:left="0" w:right="0" w:firstLine="420" w:firstLineChars="200"/>
        <w:textAlignment w:val="auto"/>
        <w:outlineLvl w:val="0"/>
        <w:rPr>
          <w:rFonts w:hint="eastAsia" w:ascii="宋体" w:hAnsi="宋体" w:eastAsia="宋体" w:cs="宋体"/>
          <w:iCs/>
          <w:color w:val="auto"/>
          <w:sz w:val="21"/>
          <w:szCs w:val="21"/>
          <w:highlight w:val="none"/>
          <w:lang w:eastAsia="zh-CN"/>
        </w:rPr>
      </w:pPr>
      <w:r>
        <w:rPr>
          <w:rFonts w:hint="eastAsia" w:ascii="宋体" w:hAnsi="宋体" w:eastAsia="宋体" w:cs="宋体"/>
          <w:iCs/>
          <w:color w:val="auto"/>
          <w:sz w:val="21"/>
          <w:szCs w:val="21"/>
          <w:highlight w:val="none"/>
        </w:rPr>
        <w:t>注</w:t>
      </w:r>
      <w:r>
        <w:rPr>
          <w:rFonts w:hint="eastAsia" w:ascii="宋体" w:hAnsi="宋体" w:eastAsia="宋体" w:cs="宋体"/>
          <w:iCs/>
          <w:color w:val="auto"/>
          <w:sz w:val="21"/>
          <w:szCs w:val="21"/>
          <w:highlight w:val="none"/>
          <w:lang w:eastAsia="zh-CN"/>
        </w:rPr>
        <w:t>：</w:t>
      </w:r>
    </w:p>
    <w:p w14:paraId="694714CD">
      <w:pPr>
        <w:keepNext w:val="0"/>
        <w:keepLines w:val="0"/>
        <w:pageBreakBefore w:val="0"/>
        <w:kinsoku/>
        <w:wordWrap/>
        <w:overflowPunct/>
        <w:topLinePunct w:val="0"/>
        <w:autoSpaceDE/>
        <w:autoSpaceDN/>
        <w:bidi w:val="0"/>
        <w:adjustRightInd/>
        <w:snapToGrid w:val="0"/>
        <w:spacing w:line="360" w:lineRule="auto"/>
        <w:ind w:left="0" w:right="0" w:firstLine="420" w:firstLineChars="200"/>
        <w:textAlignment w:val="auto"/>
        <w:outlineLvl w:val="0"/>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（1）如参加本项目的</w:t>
      </w:r>
      <w:r>
        <w:rPr>
          <w:rFonts w:hint="eastAsia" w:ascii="宋体" w:hAnsi="宋体" w:eastAsia="宋体" w:cs="宋体"/>
          <w:iCs/>
          <w:color w:val="auto"/>
          <w:sz w:val="21"/>
          <w:szCs w:val="21"/>
          <w:highlight w:val="none"/>
          <w:lang w:val="en-US" w:eastAsia="zh-CN"/>
        </w:rPr>
        <w:t>供应商</w:t>
      </w:r>
      <w:r>
        <w:rPr>
          <w:rFonts w:hint="eastAsia" w:ascii="宋体" w:hAnsi="宋体" w:eastAsia="宋体" w:cs="宋体"/>
          <w:iCs/>
          <w:color w:val="auto"/>
          <w:sz w:val="21"/>
          <w:szCs w:val="21"/>
          <w:highlight w:val="none"/>
        </w:rPr>
        <w:t>为个体工商户、自然人或事业</w:t>
      </w:r>
      <w:r>
        <w:rPr>
          <w:rFonts w:hint="eastAsia" w:ascii="宋体" w:hAnsi="宋体" w:eastAsia="宋体" w:cs="宋体"/>
          <w:iCs/>
          <w:color w:val="auto"/>
          <w:sz w:val="21"/>
          <w:szCs w:val="21"/>
          <w:highlight w:val="none"/>
          <w:lang w:val="en-US" w:eastAsia="zh-CN"/>
        </w:rPr>
        <w:t>单位</w:t>
      </w:r>
      <w:r>
        <w:rPr>
          <w:rFonts w:hint="eastAsia" w:ascii="宋体" w:hAnsi="宋体" w:eastAsia="宋体" w:cs="宋体"/>
          <w:iCs/>
          <w:color w:val="auto"/>
          <w:sz w:val="21"/>
          <w:szCs w:val="21"/>
          <w:highlight w:val="none"/>
        </w:rPr>
        <w:t>等非企业法人</w:t>
      </w:r>
      <w:r>
        <w:rPr>
          <w:rFonts w:hint="eastAsia" w:ascii="宋体" w:hAnsi="宋体" w:eastAsia="宋体" w:cs="宋体"/>
          <w:iCs/>
          <w:color w:val="auto"/>
          <w:sz w:val="21"/>
          <w:szCs w:val="21"/>
          <w:highlight w:val="none"/>
          <w:lang w:val="en-US" w:eastAsia="zh-CN"/>
        </w:rPr>
        <w:t>或新成立公司（公司成立距开标不满一年的）</w:t>
      </w:r>
      <w:r>
        <w:rPr>
          <w:rFonts w:hint="eastAsia" w:ascii="宋体" w:hAnsi="宋体" w:eastAsia="宋体" w:cs="宋体"/>
          <w:iCs/>
          <w:color w:val="auto"/>
          <w:sz w:val="21"/>
          <w:szCs w:val="21"/>
          <w:highlight w:val="none"/>
        </w:rPr>
        <w:t>，</w:t>
      </w:r>
      <w:r>
        <w:rPr>
          <w:rFonts w:hint="eastAsia" w:ascii="宋体" w:hAnsi="宋体" w:eastAsia="宋体" w:cs="宋体"/>
          <w:iCs/>
          <w:color w:val="auto"/>
          <w:sz w:val="21"/>
          <w:szCs w:val="21"/>
          <w:highlight w:val="none"/>
          <w:lang w:val="en-US" w:eastAsia="zh-CN"/>
        </w:rPr>
        <w:t>确实无法提供</w:t>
      </w:r>
      <w:r>
        <w:rPr>
          <w:rFonts w:hint="eastAsia" w:ascii="宋体" w:hAnsi="宋体" w:eastAsia="宋体" w:cs="宋体"/>
          <w:iCs/>
          <w:color w:val="auto"/>
          <w:sz w:val="21"/>
          <w:szCs w:val="21"/>
          <w:highlight w:val="none"/>
        </w:rPr>
        <w:t>上述1.5-1.7三项</w:t>
      </w:r>
      <w:r>
        <w:rPr>
          <w:rFonts w:hint="eastAsia" w:ascii="宋体" w:hAnsi="宋体" w:eastAsia="宋体" w:cs="宋体"/>
          <w:iCs/>
          <w:color w:val="auto"/>
          <w:sz w:val="21"/>
          <w:szCs w:val="21"/>
          <w:highlight w:val="none"/>
          <w:lang w:val="en-US" w:eastAsia="zh-CN"/>
        </w:rPr>
        <w:t>材料的</w:t>
      </w:r>
      <w:r>
        <w:rPr>
          <w:rFonts w:hint="eastAsia" w:ascii="宋体" w:hAnsi="宋体" w:eastAsia="宋体" w:cs="宋体"/>
          <w:iCs/>
          <w:color w:val="auto"/>
          <w:sz w:val="21"/>
          <w:szCs w:val="21"/>
          <w:highlight w:val="none"/>
        </w:rPr>
        <w:t>，</w:t>
      </w:r>
      <w:r>
        <w:rPr>
          <w:rFonts w:hint="eastAsia" w:ascii="宋体" w:hAnsi="宋体" w:eastAsia="宋体" w:cs="宋体"/>
          <w:iCs/>
          <w:color w:val="auto"/>
          <w:sz w:val="21"/>
          <w:szCs w:val="21"/>
          <w:highlight w:val="none"/>
          <w:lang w:val="en-US" w:eastAsia="zh-CN"/>
        </w:rPr>
        <w:t>请提供相应情况说明，</w:t>
      </w:r>
      <w:r>
        <w:rPr>
          <w:rFonts w:hint="eastAsia" w:ascii="宋体" w:hAnsi="宋体" w:eastAsia="宋体" w:cs="宋体"/>
          <w:iCs/>
          <w:color w:val="auto"/>
          <w:sz w:val="21"/>
          <w:szCs w:val="21"/>
          <w:highlight w:val="none"/>
        </w:rPr>
        <w:t>本文件中所需法定代表人相关材料、盖章及签字等可用</w:t>
      </w:r>
      <w:r>
        <w:rPr>
          <w:rFonts w:hint="eastAsia" w:ascii="宋体" w:hAnsi="宋体" w:eastAsia="宋体" w:cs="宋体"/>
          <w:iCs/>
          <w:color w:val="auto"/>
          <w:sz w:val="21"/>
          <w:szCs w:val="21"/>
          <w:highlight w:val="none"/>
          <w:lang w:val="en-US" w:eastAsia="zh-CN"/>
        </w:rPr>
        <w:t>供应商</w:t>
      </w:r>
      <w:r>
        <w:rPr>
          <w:rFonts w:hint="eastAsia" w:ascii="宋体" w:hAnsi="宋体" w:eastAsia="宋体" w:cs="宋体"/>
          <w:iCs/>
          <w:color w:val="auto"/>
          <w:sz w:val="21"/>
          <w:szCs w:val="21"/>
          <w:highlight w:val="none"/>
        </w:rPr>
        <w:t>相关负责人的相应材料代替。</w:t>
      </w:r>
    </w:p>
    <w:p w14:paraId="58FFF55D">
      <w:pPr>
        <w:keepNext w:val="0"/>
        <w:keepLines w:val="0"/>
        <w:pageBreakBefore w:val="0"/>
        <w:kinsoku/>
        <w:wordWrap/>
        <w:overflowPunct/>
        <w:topLinePunct w:val="0"/>
        <w:autoSpaceDE/>
        <w:autoSpaceDN/>
        <w:bidi w:val="0"/>
        <w:adjustRightInd/>
        <w:snapToGrid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iCs/>
          <w:color w:val="auto"/>
          <w:sz w:val="21"/>
          <w:szCs w:val="21"/>
          <w:highlight w:val="none"/>
        </w:rPr>
        <w:t>（2）</w:t>
      </w:r>
      <w:r>
        <w:rPr>
          <w:rFonts w:hint="eastAsia" w:ascii="宋体" w:hAnsi="宋体" w:eastAsia="宋体" w:cs="宋体"/>
          <w:iCs/>
          <w:color w:val="auto"/>
          <w:sz w:val="21"/>
          <w:szCs w:val="21"/>
          <w:highlight w:val="none"/>
          <w:lang w:val="en-US" w:eastAsia="zh-CN"/>
        </w:rPr>
        <w:t>供应商</w:t>
      </w:r>
      <w:r>
        <w:rPr>
          <w:rFonts w:hint="eastAsia" w:ascii="宋体" w:hAnsi="宋体" w:eastAsia="宋体" w:cs="宋体"/>
          <w:iCs/>
          <w:color w:val="auto"/>
          <w:sz w:val="21"/>
          <w:szCs w:val="21"/>
          <w:highlight w:val="none"/>
        </w:rPr>
        <w:t>如有相关政策支持，延期缴纳或暂不缴纳职工社会保障资金、税收的，须提供相关证明材料。</w:t>
      </w:r>
    </w:p>
    <w:p w14:paraId="526676B4">
      <w:pPr>
        <w:keepNext w:val="0"/>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文件的正本和副本中均须提供上述资格证明文件。资格证明文件须清晰可辨，若有缺失或不清晰，将导致投标被拒绝且不允许在开标后补正。</w:t>
      </w:r>
    </w:p>
    <w:p w14:paraId="12E97578">
      <w:pPr>
        <w:keepNext w:val="0"/>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bookmarkStart w:id="9" w:name="_Toc28359001"/>
      <w:bookmarkStart w:id="10" w:name="_Toc38985262"/>
      <w:r>
        <w:rPr>
          <w:rFonts w:hint="eastAsia" w:ascii="宋体" w:hAnsi="宋体" w:eastAsia="宋体" w:cs="宋体"/>
          <w:color w:val="auto"/>
          <w:sz w:val="21"/>
          <w:szCs w:val="21"/>
          <w:highlight w:val="none"/>
        </w:rPr>
        <w:t>2、落实采购政策需满足的资格要求：</w:t>
      </w:r>
      <w:r>
        <w:rPr>
          <w:rFonts w:hint="eastAsia" w:ascii="宋体" w:hAnsi="宋体" w:eastAsia="宋体" w:cs="宋体"/>
          <w:color w:val="auto"/>
          <w:kern w:val="2"/>
          <w:sz w:val="21"/>
          <w:szCs w:val="21"/>
          <w:highlight w:val="none"/>
          <w:lang w:val="en"/>
        </w:rPr>
        <w:t>根据《政府采购促进中小企业发展管理办法》的规定，本项目专门面向中小</w:t>
      </w:r>
      <w:r>
        <w:rPr>
          <w:rFonts w:hint="eastAsia" w:ascii="宋体" w:hAnsi="宋体" w:eastAsia="宋体" w:cs="宋体"/>
          <w:color w:val="auto"/>
          <w:kern w:val="2"/>
          <w:sz w:val="21"/>
          <w:szCs w:val="21"/>
          <w:highlight w:val="none"/>
          <w:lang w:val="en-US" w:eastAsia="zh-CN"/>
        </w:rPr>
        <w:t>微</w:t>
      </w:r>
      <w:r>
        <w:rPr>
          <w:rFonts w:hint="eastAsia" w:ascii="宋体" w:hAnsi="宋体" w:eastAsia="宋体" w:cs="宋体"/>
          <w:color w:val="auto"/>
          <w:kern w:val="2"/>
          <w:sz w:val="21"/>
          <w:szCs w:val="21"/>
          <w:highlight w:val="none"/>
          <w:lang w:val="en"/>
        </w:rPr>
        <w:t>企业采购</w:t>
      </w:r>
      <w:r>
        <w:rPr>
          <w:rFonts w:hint="eastAsia" w:ascii="宋体" w:hAnsi="宋体" w:eastAsia="宋体" w:cs="宋体"/>
          <w:color w:val="auto"/>
          <w:kern w:val="2"/>
          <w:sz w:val="21"/>
          <w:szCs w:val="21"/>
          <w:highlight w:val="none"/>
          <w:lang w:val="en" w:eastAsia="zh-CN"/>
        </w:rPr>
        <w:t>。</w:t>
      </w:r>
      <w:r>
        <w:rPr>
          <w:rFonts w:hint="eastAsia" w:ascii="宋体" w:hAnsi="宋体" w:eastAsia="宋体" w:cs="宋体"/>
          <w:color w:val="auto"/>
          <w:kern w:val="2"/>
          <w:sz w:val="21"/>
          <w:szCs w:val="21"/>
          <w:highlight w:val="none"/>
          <w:lang w:val="en"/>
        </w:rPr>
        <w:t>残疾人福利性单位、监狱和戒毒企业（简称监狱企业）视同小型、微型企业。</w:t>
      </w:r>
      <w:r>
        <w:rPr>
          <w:rFonts w:hint="eastAsia" w:ascii="宋体" w:hAnsi="宋体" w:eastAsia="宋体" w:cs="宋体"/>
          <w:color w:val="auto"/>
          <w:kern w:val="2"/>
          <w:sz w:val="21"/>
          <w:szCs w:val="21"/>
          <w:highlight w:val="none"/>
          <w:lang w:val="en" w:eastAsia="zh-CN"/>
        </w:rPr>
        <w:t>（供应商按要求填写并提供《中小微企业声明函》或《残疾人福利性单位声明函》，或提供由省级以上监狱管理局、戒毒管理局(含新疆生产建设兵团)出具的属于监狱企业的证明文件。）</w:t>
      </w:r>
    </w:p>
    <w:p w14:paraId="78B6591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End w:id="9"/>
      <w:r>
        <w:rPr>
          <w:rFonts w:hint="eastAsia" w:ascii="宋体" w:hAnsi="宋体" w:eastAsia="宋体" w:cs="宋体"/>
          <w:color w:val="auto"/>
          <w:sz w:val="21"/>
          <w:szCs w:val="21"/>
          <w:highlight w:val="none"/>
        </w:rPr>
        <w:t>、本项目的特定资格要求：</w:t>
      </w:r>
      <w:bookmarkEnd w:id="10"/>
    </w:p>
    <w:p w14:paraId="3A8341B5">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i/>
          <w:color w:val="auto"/>
          <w:sz w:val="21"/>
          <w:szCs w:val="21"/>
          <w:highlight w:val="none"/>
          <w:u w:val="single"/>
        </w:rPr>
      </w:pPr>
      <w:r>
        <w:rPr>
          <w:rFonts w:hint="eastAsia" w:ascii="宋体" w:hAnsi="宋体" w:eastAsia="宋体" w:cs="宋体"/>
          <w:i/>
          <w:iCs/>
          <w:color w:val="auto"/>
          <w:sz w:val="21"/>
          <w:szCs w:val="21"/>
          <w:highlight w:val="none"/>
          <w:u w:val="single"/>
        </w:rPr>
        <w:t>3.1供应商具备</w:t>
      </w:r>
      <w:r>
        <w:rPr>
          <w:rFonts w:hint="eastAsia" w:ascii="宋体" w:hAnsi="宋体" w:cs="宋体"/>
          <w:i/>
          <w:iCs/>
          <w:color w:val="auto"/>
          <w:sz w:val="21"/>
          <w:szCs w:val="21"/>
          <w:highlight w:val="none"/>
          <w:u w:val="single"/>
          <w:lang w:val="en-US" w:eastAsia="zh-CN"/>
        </w:rPr>
        <w:t>有效期内的</w:t>
      </w:r>
      <w:r>
        <w:rPr>
          <w:rFonts w:hint="eastAsia" w:ascii="宋体" w:hAnsi="宋体" w:eastAsia="宋体" w:cs="宋体"/>
          <w:i/>
          <w:iCs/>
          <w:color w:val="auto"/>
          <w:sz w:val="21"/>
          <w:szCs w:val="21"/>
          <w:highlight w:val="none"/>
          <w:u w:val="single"/>
        </w:rPr>
        <w:t>工程监理综合资质或</w:t>
      </w:r>
      <w:r>
        <w:rPr>
          <w:rFonts w:hint="eastAsia" w:ascii="宋体" w:hAnsi="宋体" w:eastAsia="宋体" w:cs="宋体"/>
          <w:i/>
          <w:iCs/>
          <w:color w:val="auto"/>
          <w:sz w:val="21"/>
          <w:szCs w:val="21"/>
          <w:highlight w:val="none"/>
          <w:u w:val="single"/>
          <w:lang w:val="en-US" w:eastAsia="zh-CN"/>
        </w:rPr>
        <w:t>市政公用工程</w:t>
      </w:r>
      <w:r>
        <w:rPr>
          <w:rFonts w:hint="eastAsia" w:ascii="宋体" w:hAnsi="宋体" w:eastAsia="宋体" w:cs="宋体"/>
          <w:i/>
          <w:iCs/>
          <w:color w:val="auto"/>
          <w:sz w:val="21"/>
          <w:szCs w:val="21"/>
          <w:highlight w:val="none"/>
          <w:u w:val="single"/>
        </w:rPr>
        <w:t>监理丙级及以上资质</w:t>
      </w:r>
      <w:r>
        <w:rPr>
          <w:rFonts w:hint="eastAsia" w:ascii="宋体" w:hAnsi="宋体" w:eastAsia="宋体" w:cs="宋体"/>
          <w:b/>
          <w:i/>
          <w:color w:val="auto"/>
          <w:sz w:val="21"/>
          <w:szCs w:val="21"/>
          <w:highlight w:val="none"/>
          <w:u w:val="single"/>
        </w:rPr>
        <w:t>(复印件加盖供应商公章)</w:t>
      </w:r>
    </w:p>
    <w:p w14:paraId="18801907">
      <w:pPr>
        <w:keepNext w:val="0"/>
        <w:keepLines w:val="0"/>
        <w:pageBreakBefore w:val="0"/>
        <w:widowControl w:val="0"/>
        <w:kinsoku/>
        <w:wordWrap/>
        <w:overflowPunct/>
        <w:topLinePunct w:val="0"/>
        <w:autoSpaceDE/>
        <w:autoSpaceDN/>
        <w:bidi w:val="0"/>
        <w:adjustRightInd/>
        <w:spacing w:line="360" w:lineRule="auto"/>
        <w:ind w:firstLine="396" w:firstLineChars="200"/>
        <w:textAlignment w:val="auto"/>
        <w:rPr>
          <w:rFonts w:hint="eastAsia" w:ascii="宋体" w:hAnsi="宋体" w:eastAsia="宋体" w:cs="宋体"/>
          <w:b/>
          <w:i/>
          <w:color w:val="auto"/>
          <w:sz w:val="21"/>
          <w:szCs w:val="21"/>
          <w:highlight w:val="none"/>
          <w:u w:val="single"/>
        </w:rPr>
      </w:pPr>
      <w:r>
        <w:rPr>
          <w:rFonts w:hint="eastAsia" w:ascii="宋体" w:hAnsi="宋体" w:eastAsia="宋体" w:cs="宋体"/>
          <w:bCs/>
          <w:i/>
          <w:iCs/>
          <w:color w:val="auto"/>
          <w:spacing w:val="-6"/>
          <w:sz w:val="21"/>
          <w:szCs w:val="21"/>
          <w:highlight w:val="none"/>
          <w:u w:val="single"/>
        </w:rPr>
        <w:t>3.2</w:t>
      </w:r>
      <w:r>
        <w:rPr>
          <w:rFonts w:hint="eastAsia" w:ascii="宋体" w:hAnsi="宋体" w:eastAsia="宋体" w:cs="宋体"/>
          <w:i/>
          <w:color w:val="auto"/>
          <w:sz w:val="21"/>
          <w:szCs w:val="21"/>
          <w:highlight w:val="none"/>
          <w:u w:val="single"/>
        </w:rPr>
        <w:t>拟派项目总监为本公司正式员工，正常缴纳社会保险，具备</w:t>
      </w:r>
      <w:r>
        <w:rPr>
          <w:rFonts w:hint="eastAsia" w:ascii="宋体" w:hAnsi="宋体" w:eastAsia="宋体" w:cs="宋体"/>
          <w:i/>
          <w:color w:val="auto"/>
          <w:sz w:val="21"/>
          <w:szCs w:val="21"/>
          <w:highlight w:val="none"/>
          <w:u w:val="single"/>
          <w:lang w:val="en-US" w:eastAsia="zh-CN"/>
        </w:rPr>
        <w:t>市政公用</w:t>
      </w:r>
      <w:r>
        <w:rPr>
          <w:rFonts w:hint="eastAsia" w:ascii="宋体" w:hAnsi="宋体" w:eastAsia="宋体" w:cs="宋体"/>
          <w:i/>
          <w:iCs/>
          <w:color w:val="auto"/>
          <w:spacing w:val="-6"/>
          <w:sz w:val="21"/>
          <w:szCs w:val="21"/>
          <w:highlight w:val="none"/>
          <w:u w:val="single"/>
        </w:rPr>
        <w:t>工程国家注册监理工程师资格</w:t>
      </w:r>
      <w:r>
        <w:rPr>
          <w:rFonts w:hint="eastAsia" w:ascii="宋体" w:hAnsi="宋体" w:eastAsia="宋体" w:cs="宋体"/>
          <w:i/>
          <w:color w:val="auto"/>
          <w:sz w:val="21"/>
          <w:szCs w:val="21"/>
          <w:highlight w:val="none"/>
          <w:u w:val="single"/>
        </w:rPr>
        <w:t xml:space="preserve"> </w:t>
      </w:r>
      <w:r>
        <w:rPr>
          <w:rFonts w:hint="eastAsia" w:ascii="宋体" w:hAnsi="宋体" w:eastAsia="宋体" w:cs="宋体"/>
          <w:b/>
          <w:i/>
          <w:color w:val="auto"/>
          <w:sz w:val="21"/>
          <w:szCs w:val="21"/>
          <w:highlight w:val="none"/>
          <w:u w:val="single"/>
        </w:rPr>
        <w:t>(提供拟派项目总监</w:t>
      </w:r>
      <w:r>
        <w:rPr>
          <w:rFonts w:hint="eastAsia" w:ascii="宋体" w:hAnsi="宋体" w:eastAsia="宋体" w:cs="宋体"/>
          <w:b/>
          <w:i/>
          <w:color w:val="auto"/>
          <w:sz w:val="21"/>
          <w:szCs w:val="21"/>
          <w:highlight w:val="none"/>
          <w:u w:val="single"/>
          <w:lang w:val="en-US" w:eastAsia="zh-CN"/>
        </w:rPr>
        <w:t>市政公用</w:t>
      </w:r>
      <w:r>
        <w:rPr>
          <w:rFonts w:hint="eastAsia" w:ascii="宋体" w:hAnsi="宋体" w:eastAsia="宋体" w:cs="宋体"/>
          <w:b/>
          <w:i/>
          <w:iCs/>
          <w:color w:val="auto"/>
          <w:spacing w:val="-6"/>
          <w:sz w:val="21"/>
          <w:szCs w:val="21"/>
          <w:highlight w:val="none"/>
          <w:u w:val="single"/>
        </w:rPr>
        <w:t>工程国家注册监理工程师</w:t>
      </w:r>
      <w:r>
        <w:rPr>
          <w:rFonts w:hint="eastAsia" w:ascii="宋体" w:hAnsi="宋体" w:eastAsia="宋体" w:cs="宋体"/>
          <w:b/>
          <w:i/>
          <w:color w:val="auto"/>
          <w:sz w:val="21"/>
          <w:szCs w:val="21"/>
          <w:highlight w:val="none"/>
          <w:u w:val="single"/>
        </w:rPr>
        <w:t>证书和供应商为其缴纳的</w:t>
      </w:r>
      <w:r>
        <w:rPr>
          <w:rFonts w:hint="eastAsia" w:ascii="宋体" w:hAnsi="宋体" w:eastAsia="宋体" w:cs="宋体"/>
          <w:b/>
          <w:bCs/>
          <w:i/>
          <w:iCs/>
          <w:color w:val="auto"/>
          <w:sz w:val="21"/>
          <w:szCs w:val="21"/>
          <w:highlight w:val="none"/>
          <w:u w:val="single"/>
          <w:lang w:val="en-US" w:eastAsia="zh-CN"/>
        </w:rPr>
        <w:t>近</w:t>
      </w:r>
      <w:r>
        <w:rPr>
          <w:rFonts w:hint="eastAsia" w:ascii="宋体" w:hAnsi="宋体" w:eastAsia="宋体" w:cs="宋体"/>
          <w:b/>
          <w:bCs/>
          <w:i/>
          <w:iCs/>
          <w:color w:val="auto"/>
          <w:sz w:val="21"/>
          <w:szCs w:val="21"/>
          <w:highlight w:val="none"/>
          <w:u w:val="single"/>
        </w:rPr>
        <w:t>三个月</w:t>
      </w:r>
      <w:r>
        <w:rPr>
          <w:rFonts w:hint="eastAsia" w:ascii="宋体" w:hAnsi="宋体" w:eastAsia="宋体" w:cs="宋体"/>
          <w:b/>
          <w:bCs/>
          <w:i/>
          <w:iCs/>
          <w:color w:val="auto"/>
          <w:sz w:val="21"/>
          <w:szCs w:val="21"/>
          <w:highlight w:val="none"/>
          <w:u w:val="single"/>
          <w:lang w:eastAsia="zh-CN"/>
        </w:rPr>
        <w:t>（</w:t>
      </w:r>
      <w:r>
        <w:rPr>
          <w:rFonts w:hint="eastAsia" w:ascii="宋体" w:hAnsi="宋体" w:eastAsia="宋体" w:cs="宋体"/>
          <w:b/>
          <w:i/>
          <w:color w:val="auto"/>
          <w:sz w:val="21"/>
          <w:szCs w:val="21"/>
          <w:highlight w:val="none"/>
          <w:u w:val="single"/>
        </w:rPr>
        <w:t>202</w:t>
      </w:r>
      <w:r>
        <w:rPr>
          <w:rFonts w:hint="eastAsia" w:ascii="宋体" w:hAnsi="宋体" w:eastAsia="宋体" w:cs="宋体"/>
          <w:b/>
          <w:i/>
          <w:color w:val="auto"/>
          <w:sz w:val="21"/>
          <w:szCs w:val="21"/>
          <w:highlight w:val="none"/>
          <w:u w:val="single"/>
          <w:lang w:val="en-US" w:eastAsia="zh-CN"/>
        </w:rPr>
        <w:t>6</w:t>
      </w:r>
      <w:r>
        <w:rPr>
          <w:rFonts w:hint="eastAsia" w:ascii="宋体" w:hAnsi="宋体" w:eastAsia="宋体" w:cs="宋体"/>
          <w:b/>
          <w:i/>
          <w:color w:val="auto"/>
          <w:sz w:val="21"/>
          <w:szCs w:val="21"/>
          <w:highlight w:val="none"/>
          <w:u w:val="single"/>
        </w:rPr>
        <w:t>年</w:t>
      </w:r>
      <w:r>
        <w:rPr>
          <w:rFonts w:hint="eastAsia" w:ascii="宋体" w:hAnsi="宋体" w:cs="宋体"/>
          <w:b/>
          <w:i/>
          <w:color w:val="auto"/>
          <w:sz w:val="21"/>
          <w:szCs w:val="21"/>
          <w:highlight w:val="none"/>
          <w:u w:val="single"/>
          <w:lang w:val="en-US" w:eastAsia="zh-CN"/>
        </w:rPr>
        <w:t>2</w:t>
      </w:r>
      <w:r>
        <w:rPr>
          <w:rFonts w:hint="eastAsia" w:ascii="宋体" w:hAnsi="宋体" w:eastAsia="宋体" w:cs="宋体"/>
          <w:b/>
          <w:i/>
          <w:color w:val="auto"/>
          <w:sz w:val="21"/>
          <w:szCs w:val="21"/>
          <w:highlight w:val="none"/>
          <w:u w:val="single"/>
        </w:rPr>
        <w:t>月至202</w:t>
      </w:r>
      <w:r>
        <w:rPr>
          <w:rFonts w:hint="eastAsia" w:ascii="宋体" w:hAnsi="宋体" w:eastAsia="宋体" w:cs="宋体"/>
          <w:b/>
          <w:i/>
          <w:color w:val="auto"/>
          <w:sz w:val="21"/>
          <w:szCs w:val="21"/>
          <w:highlight w:val="none"/>
          <w:u w:val="single"/>
          <w:lang w:val="en-US" w:eastAsia="zh-CN"/>
        </w:rPr>
        <w:t>6</w:t>
      </w:r>
      <w:r>
        <w:rPr>
          <w:rFonts w:hint="eastAsia" w:ascii="宋体" w:hAnsi="宋体" w:eastAsia="宋体" w:cs="宋体"/>
          <w:b/>
          <w:i/>
          <w:color w:val="auto"/>
          <w:sz w:val="21"/>
          <w:szCs w:val="21"/>
          <w:highlight w:val="none"/>
          <w:u w:val="single"/>
        </w:rPr>
        <w:t>年</w:t>
      </w:r>
      <w:r>
        <w:rPr>
          <w:rFonts w:hint="eastAsia" w:ascii="宋体" w:hAnsi="宋体" w:cs="宋体"/>
          <w:b/>
          <w:i/>
          <w:color w:val="auto"/>
          <w:sz w:val="21"/>
          <w:szCs w:val="21"/>
          <w:highlight w:val="none"/>
          <w:u w:val="single"/>
          <w:lang w:val="en-US" w:eastAsia="zh-CN"/>
        </w:rPr>
        <w:t>4</w:t>
      </w:r>
      <w:r>
        <w:rPr>
          <w:rFonts w:hint="eastAsia" w:ascii="宋体" w:hAnsi="宋体" w:eastAsia="宋体" w:cs="宋体"/>
          <w:b/>
          <w:i/>
          <w:color w:val="auto"/>
          <w:sz w:val="21"/>
          <w:szCs w:val="21"/>
          <w:highlight w:val="none"/>
          <w:u w:val="single"/>
        </w:rPr>
        <w:t>月</w:t>
      </w:r>
      <w:r>
        <w:rPr>
          <w:rFonts w:hint="eastAsia" w:ascii="宋体" w:hAnsi="宋体" w:eastAsia="宋体" w:cs="宋体"/>
          <w:b/>
          <w:bCs/>
          <w:i/>
          <w:iCs/>
          <w:color w:val="auto"/>
          <w:sz w:val="21"/>
          <w:szCs w:val="21"/>
          <w:highlight w:val="none"/>
          <w:u w:val="single"/>
          <w:lang w:eastAsia="zh-CN"/>
        </w:rPr>
        <w:t>）</w:t>
      </w:r>
      <w:r>
        <w:rPr>
          <w:rFonts w:hint="eastAsia" w:ascii="宋体" w:hAnsi="宋体" w:eastAsia="宋体" w:cs="宋体"/>
          <w:b/>
          <w:bCs/>
          <w:i/>
          <w:iCs/>
          <w:color w:val="auto"/>
          <w:sz w:val="21"/>
          <w:szCs w:val="21"/>
          <w:highlight w:val="none"/>
          <w:u w:val="single"/>
        </w:rPr>
        <w:t>内任意一个月</w:t>
      </w:r>
      <w:r>
        <w:rPr>
          <w:rFonts w:hint="eastAsia" w:ascii="宋体" w:hAnsi="宋体" w:eastAsia="宋体" w:cs="宋体"/>
          <w:b/>
          <w:i/>
          <w:color w:val="auto"/>
          <w:sz w:val="21"/>
          <w:szCs w:val="21"/>
          <w:highlight w:val="none"/>
          <w:u w:val="single"/>
        </w:rPr>
        <w:t>的社保证明</w:t>
      </w:r>
      <w:r>
        <w:rPr>
          <w:rFonts w:hint="eastAsia" w:ascii="宋体" w:hAnsi="宋体" w:eastAsia="宋体" w:cs="宋体"/>
          <w:b/>
          <w:i/>
          <w:color w:val="auto"/>
          <w:sz w:val="21"/>
          <w:szCs w:val="21"/>
          <w:highlight w:val="none"/>
          <w:u w:val="single"/>
          <w:lang w:eastAsia="zh-CN"/>
        </w:rPr>
        <w:t>（</w:t>
      </w:r>
      <w:r>
        <w:rPr>
          <w:rFonts w:hint="eastAsia" w:ascii="宋体" w:hAnsi="宋体" w:eastAsia="宋体" w:cs="宋体"/>
          <w:b/>
          <w:i/>
          <w:color w:val="auto"/>
          <w:sz w:val="21"/>
          <w:szCs w:val="21"/>
          <w:highlight w:val="none"/>
          <w:u w:val="single"/>
        </w:rPr>
        <w:t>复印件加盖供应商公章)</w:t>
      </w:r>
    </w:p>
    <w:p w14:paraId="1B09CDA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bCs/>
          <w:i/>
          <w:iCs/>
          <w:color w:val="auto"/>
          <w:spacing w:val="-6"/>
          <w:sz w:val="21"/>
          <w:szCs w:val="21"/>
          <w:highlight w:val="none"/>
          <w:u w:val="single"/>
        </w:rPr>
      </w:pPr>
      <w:r>
        <w:rPr>
          <w:rFonts w:hint="eastAsia" w:ascii="宋体" w:hAnsi="宋体" w:eastAsia="宋体" w:cs="宋体"/>
          <w:i/>
          <w:color w:val="auto"/>
          <w:sz w:val="21"/>
          <w:szCs w:val="21"/>
          <w:highlight w:val="none"/>
          <w:u w:val="single"/>
        </w:rPr>
        <w:t>3.3 拟派项目总监无在手工程或项目总监在手工程符合扬建工（2014）8号文件的规定；项目总监不得同时在两个或者两个以上单</w:t>
      </w:r>
      <w:r>
        <w:rPr>
          <w:rFonts w:hint="eastAsia" w:ascii="宋体" w:hAnsi="宋体" w:eastAsia="宋体" w:cs="宋体"/>
          <w:i/>
          <w:iCs/>
          <w:color w:val="auto"/>
          <w:spacing w:val="-6"/>
          <w:sz w:val="21"/>
          <w:szCs w:val="21"/>
          <w:highlight w:val="none"/>
          <w:u w:val="single"/>
        </w:rPr>
        <w:t>位受聘或者执业：（1）同时在两个及以上单位签订劳动合同或交纳社会保险；（2）将本人执（职）业资格证书同时注册在两个及以上单位（</w:t>
      </w:r>
      <w:r>
        <w:rPr>
          <w:rFonts w:hint="eastAsia" w:ascii="宋体" w:hAnsi="宋体" w:eastAsia="宋体" w:cs="宋体"/>
          <w:b/>
          <w:i/>
          <w:iCs/>
          <w:color w:val="auto"/>
          <w:spacing w:val="-6"/>
          <w:sz w:val="21"/>
          <w:szCs w:val="21"/>
          <w:highlight w:val="none"/>
          <w:u w:val="single"/>
        </w:rPr>
        <w:t>提供</w:t>
      </w:r>
      <w:r>
        <w:rPr>
          <w:rFonts w:hint="eastAsia" w:ascii="宋体" w:hAnsi="宋体" w:eastAsia="宋体" w:cs="宋体"/>
          <w:b/>
          <w:bCs/>
          <w:i/>
          <w:color w:val="auto"/>
          <w:sz w:val="21"/>
          <w:szCs w:val="21"/>
          <w:highlight w:val="none"/>
          <w:u w:val="single"/>
        </w:rPr>
        <w:t>拟派项目总监无在手工程或在手工程情况符合扬建工（2014）8号文件规定的承诺原件</w:t>
      </w:r>
      <w:r>
        <w:rPr>
          <w:rFonts w:hint="eastAsia" w:ascii="宋体" w:hAnsi="宋体" w:eastAsia="宋体" w:cs="宋体"/>
          <w:b/>
          <w:bCs/>
          <w:i/>
          <w:iCs/>
          <w:color w:val="auto"/>
          <w:spacing w:val="-6"/>
          <w:sz w:val="21"/>
          <w:szCs w:val="21"/>
          <w:highlight w:val="none"/>
          <w:u w:val="single"/>
        </w:rPr>
        <w:t>）</w:t>
      </w:r>
    </w:p>
    <w:p w14:paraId="5B3A2E39">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i/>
          <w:color w:val="auto"/>
          <w:sz w:val="21"/>
          <w:szCs w:val="21"/>
          <w:highlight w:val="none"/>
          <w:u w:val="single"/>
        </w:rPr>
      </w:pPr>
      <w:r>
        <w:rPr>
          <w:rFonts w:hint="eastAsia" w:ascii="宋体" w:hAnsi="宋体" w:eastAsia="宋体" w:cs="宋体"/>
          <w:i/>
          <w:color w:val="auto"/>
          <w:sz w:val="21"/>
          <w:szCs w:val="21"/>
          <w:highlight w:val="none"/>
          <w:u w:val="single"/>
        </w:rPr>
        <w:t>3.4拟派</w:t>
      </w:r>
      <w:r>
        <w:rPr>
          <w:rFonts w:hint="eastAsia" w:ascii="宋体" w:hAnsi="宋体" w:eastAsia="宋体" w:cs="宋体"/>
          <w:i/>
          <w:strike w:val="0"/>
          <w:color w:val="auto"/>
          <w:sz w:val="21"/>
          <w:szCs w:val="21"/>
          <w:highlight w:val="none"/>
          <w:u w:val="single"/>
        </w:rPr>
        <w:t>主</w:t>
      </w:r>
      <w:r>
        <w:rPr>
          <w:rFonts w:hint="eastAsia" w:ascii="宋体" w:hAnsi="宋体" w:eastAsia="宋体" w:cs="宋体"/>
          <w:i/>
          <w:color w:val="auto"/>
          <w:sz w:val="21"/>
          <w:szCs w:val="21"/>
          <w:highlight w:val="none"/>
          <w:u w:val="single"/>
        </w:rPr>
        <w:t>专业监理工程师1 人，为本公司正式员工，正常缴纳社会保险，专业要求：公路与城市道路工程、桥梁工程、交通工程、交通土建、土木工程（道路与桥梁方向）、公路施工与养护、道路交通管理工程、给水排水工程等相关或相近专业；注：国家注册监理工程师担任主专业监理工程师的，其注册专业为</w:t>
      </w:r>
      <w:r>
        <w:rPr>
          <w:rFonts w:hint="eastAsia" w:ascii="宋体" w:hAnsi="宋体" w:eastAsia="宋体" w:cs="宋体"/>
          <w:i/>
          <w:color w:val="auto"/>
          <w:sz w:val="21"/>
          <w:szCs w:val="21"/>
          <w:highlight w:val="none"/>
          <w:u w:val="single"/>
          <w:lang w:val="en-US" w:eastAsia="zh-CN"/>
        </w:rPr>
        <w:t>市政公用</w:t>
      </w:r>
      <w:r>
        <w:rPr>
          <w:rFonts w:hint="eastAsia" w:ascii="宋体" w:hAnsi="宋体" w:eastAsia="宋体" w:cs="宋体"/>
          <w:i/>
          <w:color w:val="auto"/>
          <w:sz w:val="21"/>
          <w:szCs w:val="21"/>
          <w:highlight w:val="none"/>
          <w:u w:val="single"/>
        </w:rPr>
        <w:t>工程专业即可，无需提供学历专业；专业监理工程师及工程类其他注册执业资格人员担任</w:t>
      </w:r>
      <w:r>
        <w:rPr>
          <w:rFonts w:hint="eastAsia" w:ascii="宋体" w:hAnsi="宋体" w:eastAsia="宋体" w:cs="宋体"/>
          <w:i/>
          <w:strike w:val="0"/>
          <w:color w:val="auto"/>
          <w:sz w:val="21"/>
          <w:szCs w:val="21"/>
          <w:highlight w:val="none"/>
          <w:u w:val="single"/>
        </w:rPr>
        <w:t>主</w:t>
      </w:r>
      <w:r>
        <w:rPr>
          <w:rFonts w:hint="eastAsia" w:ascii="宋体" w:hAnsi="宋体" w:eastAsia="宋体" w:cs="宋体"/>
          <w:i/>
          <w:color w:val="auto"/>
          <w:sz w:val="21"/>
          <w:szCs w:val="21"/>
          <w:highlight w:val="none"/>
          <w:u w:val="single"/>
        </w:rPr>
        <w:t>专业监理工程师的，专业认定以毕业证书所学专业为准。</w:t>
      </w:r>
      <w:r>
        <w:rPr>
          <w:rFonts w:hint="eastAsia" w:ascii="宋体" w:hAnsi="宋体" w:eastAsia="宋体" w:cs="宋体"/>
          <w:b/>
          <w:i/>
          <w:color w:val="auto"/>
          <w:sz w:val="21"/>
          <w:szCs w:val="21"/>
          <w:highlight w:val="none"/>
          <w:u w:val="single"/>
        </w:rPr>
        <w:t>(提供拟派</w:t>
      </w:r>
      <w:r>
        <w:rPr>
          <w:rFonts w:hint="eastAsia" w:ascii="宋体" w:hAnsi="宋体" w:eastAsia="宋体" w:cs="宋体"/>
          <w:b/>
          <w:i/>
          <w:strike w:val="0"/>
          <w:color w:val="auto"/>
          <w:sz w:val="21"/>
          <w:szCs w:val="21"/>
          <w:highlight w:val="none"/>
          <w:u w:val="single"/>
        </w:rPr>
        <w:t>主</w:t>
      </w:r>
      <w:r>
        <w:rPr>
          <w:rFonts w:hint="eastAsia" w:ascii="宋体" w:hAnsi="宋体" w:eastAsia="宋体" w:cs="宋体"/>
          <w:b/>
          <w:i/>
          <w:color w:val="auto"/>
          <w:sz w:val="21"/>
          <w:szCs w:val="21"/>
          <w:highlight w:val="none"/>
          <w:u w:val="single"/>
        </w:rPr>
        <w:t>专业监理工程师相关证书和供应商为其缴纳的</w:t>
      </w:r>
      <w:r>
        <w:rPr>
          <w:rFonts w:hint="eastAsia" w:ascii="宋体" w:hAnsi="宋体" w:eastAsia="宋体" w:cs="宋体"/>
          <w:b/>
          <w:bCs/>
          <w:i/>
          <w:iCs/>
          <w:color w:val="auto"/>
          <w:sz w:val="21"/>
          <w:szCs w:val="21"/>
          <w:highlight w:val="none"/>
          <w:u w:val="single"/>
          <w:lang w:val="en-US" w:eastAsia="zh-CN"/>
        </w:rPr>
        <w:t>近</w:t>
      </w:r>
      <w:r>
        <w:rPr>
          <w:rFonts w:hint="eastAsia" w:ascii="宋体" w:hAnsi="宋体" w:eastAsia="宋体" w:cs="宋体"/>
          <w:b/>
          <w:bCs/>
          <w:i/>
          <w:iCs/>
          <w:color w:val="auto"/>
          <w:sz w:val="21"/>
          <w:szCs w:val="21"/>
          <w:highlight w:val="none"/>
          <w:u w:val="single"/>
        </w:rPr>
        <w:t>三个月</w:t>
      </w:r>
      <w:r>
        <w:rPr>
          <w:rFonts w:hint="eastAsia" w:ascii="宋体" w:hAnsi="宋体" w:eastAsia="宋体" w:cs="宋体"/>
          <w:b/>
          <w:bCs/>
          <w:i/>
          <w:iCs/>
          <w:color w:val="auto"/>
          <w:sz w:val="21"/>
          <w:szCs w:val="21"/>
          <w:highlight w:val="none"/>
          <w:u w:val="single"/>
          <w:lang w:eastAsia="zh-CN"/>
        </w:rPr>
        <w:t>（</w:t>
      </w:r>
      <w:r>
        <w:rPr>
          <w:rFonts w:hint="eastAsia" w:ascii="宋体" w:hAnsi="宋体" w:eastAsia="宋体" w:cs="宋体"/>
          <w:b/>
          <w:i/>
          <w:color w:val="auto"/>
          <w:sz w:val="21"/>
          <w:szCs w:val="21"/>
          <w:highlight w:val="none"/>
          <w:u w:val="single"/>
        </w:rPr>
        <w:t>202</w:t>
      </w:r>
      <w:r>
        <w:rPr>
          <w:rFonts w:hint="eastAsia" w:ascii="宋体" w:hAnsi="宋体" w:eastAsia="宋体" w:cs="宋体"/>
          <w:b/>
          <w:i/>
          <w:color w:val="auto"/>
          <w:sz w:val="21"/>
          <w:szCs w:val="21"/>
          <w:highlight w:val="none"/>
          <w:u w:val="single"/>
          <w:lang w:val="en-US" w:eastAsia="zh-CN"/>
        </w:rPr>
        <w:t>6</w:t>
      </w:r>
      <w:r>
        <w:rPr>
          <w:rFonts w:hint="eastAsia" w:ascii="宋体" w:hAnsi="宋体" w:eastAsia="宋体" w:cs="宋体"/>
          <w:b/>
          <w:i/>
          <w:color w:val="auto"/>
          <w:sz w:val="21"/>
          <w:szCs w:val="21"/>
          <w:highlight w:val="none"/>
          <w:u w:val="single"/>
        </w:rPr>
        <w:t>年</w:t>
      </w:r>
      <w:r>
        <w:rPr>
          <w:rFonts w:hint="eastAsia" w:ascii="宋体" w:hAnsi="宋体" w:cs="宋体"/>
          <w:b/>
          <w:i/>
          <w:color w:val="auto"/>
          <w:sz w:val="21"/>
          <w:szCs w:val="21"/>
          <w:highlight w:val="none"/>
          <w:u w:val="single"/>
          <w:lang w:val="en-US" w:eastAsia="zh-CN"/>
        </w:rPr>
        <w:t>2</w:t>
      </w:r>
      <w:r>
        <w:rPr>
          <w:rFonts w:hint="eastAsia" w:ascii="宋体" w:hAnsi="宋体" w:eastAsia="宋体" w:cs="宋体"/>
          <w:b/>
          <w:i/>
          <w:color w:val="auto"/>
          <w:sz w:val="21"/>
          <w:szCs w:val="21"/>
          <w:highlight w:val="none"/>
          <w:u w:val="single"/>
        </w:rPr>
        <w:t>月至202</w:t>
      </w:r>
      <w:r>
        <w:rPr>
          <w:rFonts w:hint="eastAsia" w:ascii="宋体" w:hAnsi="宋体" w:eastAsia="宋体" w:cs="宋体"/>
          <w:b/>
          <w:i/>
          <w:color w:val="auto"/>
          <w:sz w:val="21"/>
          <w:szCs w:val="21"/>
          <w:highlight w:val="none"/>
          <w:u w:val="single"/>
          <w:lang w:val="en-US" w:eastAsia="zh-CN"/>
        </w:rPr>
        <w:t>6</w:t>
      </w:r>
      <w:r>
        <w:rPr>
          <w:rFonts w:hint="eastAsia" w:ascii="宋体" w:hAnsi="宋体" w:eastAsia="宋体" w:cs="宋体"/>
          <w:b/>
          <w:i/>
          <w:color w:val="auto"/>
          <w:sz w:val="21"/>
          <w:szCs w:val="21"/>
          <w:highlight w:val="none"/>
          <w:u w:val="single"/>
        </w:rPr>
        <w:t>年</w:t>
      </w:r>
      <w:r>
        <w:rPr>
          <w:rFonts w:hint="eastAsia" w:ascii="宋体" w:hAnsi="宋体" w:cs="宋体"/>
          <w:b/>
          <w:i/>
          <w:color w:val="auto"/>
          <w:sz w:val="21"/>
          <w:szCs w:val="21"/>
          <w:highlight w:val="none"/>
          <w:u w:val="single"/>
          <w:lang w:val="en-US" w:eastAsia="zh-CN"/>
        </w:rPr>
        <w:t>4</w:t>
      </w:r>
      <w:r>
        <w:rPr>
          <w:rFonts w:hint="eastAsia" w:ascii="宋体" w:hAnsi="宋体" w:eastAsia="宋体" w:cs="宋体"/>
          <w:b/>
          <w:i/>
          <w:color w:val="auto"/>
          <w:sz w:val="21"/>
          <w:szCs w:val="21"/>
          <w:highlight w:val="none"/>
          <w:u w:val="single"/>
        </w:rPr>
        <w:t>月</w:t>
      </w:r>
      <w:r>
        <w:rPr>
          <w:rFonts w:hint="eastAsia" w:ascii="宋体" w:hAnsi="宋体" w:eastAsia="宋体" w:cs="宋体"/>
          <w:b/>
          <w:bCs/>
          <w:i/>
          <w:iCs/>
          <w:color w:val="auto"/>
          <w:sz w:val="21"/>
          <w:szCs w:val="21"/>
          <w:highlight w:val="none"/>
          <w:u w:val="single"/>
          <w:lang w:eastAsia="zh-CN"/>
        </w:rPr>
        <w:t>）</w:t>
      </w:r>
      <w:r>
        <w:rPr>
          <w:rFonts w:hint="eastAsia" w:ascii="宋体" w:hAnsi="宋体" w:eastAsia="宋体" w:cs="宋体"/>
          <w:b/>
          <w:bCs/>
          <w:i/>
          <w:iCs/>
          <w:color w:val="auto"/>
          <w:sz w:val="21"/>
          <w:szCs w:val="21"/>
          <w:highlight w:val="none"/>
          <w:u w:val="single"/>
        </w:rPr>
        <w:t>内任意一个月</w:t>
      </w:r>
      <w:r>
        <w:rPr>
          <w:rFonts w:hint="eastAsia" w:ascii="宋体" w:hAnsi="宋体" w:eastAsia="宋体" w:cs="宋体"/>
          <w:b/>
          <w:i/>
          <w:color w:val="auto"/>
          <w:sz w:val="21"/>
          <w:szCs w:val="21"/>
          <w:highlight w:val="none"/>
          <w:u w:val="single"/>
        </w:rPr>
        <w:t>的社保证明</w:t>
      </w:r>
      <w:r>
        <w:rPr>
          <w:rFonts w:hint="eastAsia" w:ascii="宋体" w:hAnsi="宋体" w:eastAsia="宋体" w:cs="宋体"/>
          <w:b/>
          <w:i/>
          <w:color w:val="auto"/>
          <w:sz w:val="21"/>
          <w:szCs w:val="21"/>
          <w:highlight w:val="none"/>
          <w:u w:val="single"/>
          <w:lang w:eastAsia="zh-CN"/>
        </w:rPr>
        <w:t>（</w:t>
      </w:r>
      <w:r>
        <w:rPr>
          <w:rFonts w:hint="eastAsia" w:ascii="宋体" w:hAnsi="宋体" w:eastAsia="宋体" w:cs="宋体"/>
          <w:b/>
          <w:i/>
          <w:color w:val="auto"/>
          <w:sz w:val="21"/>
          <w:szCs w:val="21"/>
          <w:highlight w:val="none"/>
          <w:u w:val="single"/>
        </w:rPr>
        <w:t>复印件加盖供应商公章)</w:t>
      </w:r>
    </w:p>
    <w:p w14:paraId="4770D294">
      <w:pPr>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i/>
          <w:color w:val="auto"/>
          <w:sz w:val="21"/>
          <w:szCs w:val="21"/>
          <w:highlight w:val="none"/>
          <w:u w:val="single"/>
        </w:rPr>
        <w:t>3.5拟派监理员</w:t>
      </w:r>
      <w:r>
        <w:rPr>
          <w:rFonts w:hint="eastAsia" w:ascii="宋体" w:hAnsi="宋体" w:eastAsia="宋体" w:cs="宋体"/>
          <w:i/>
          <w:color w:val="auto"/>
          <w:sz w:val="21"/>
          <w:szCs w:val="21"/>
          <w:highlight w:val="none"/>
          <w:u w:val="single"/>
          <w:lang w:val="en-US" w:eastAsia="zh-CN"/>
        </w:rPr>
        <w:t>2</w:t>
      </w:r>
      <w:r>
        <w:rPr>
          <w:rFonts w:hint="eastAsia" w:ascii="宋体" w:hAnsi="宋体" w:eastAsia="宋体" w:cs="宋体"/>
          <w:i/>
          <w:color w:val="auto"/>
          <w:sz w:val="21"/>
          <w:szCs w:val="21"/>
          <w:highlight w:val="none"/>
          <w:u w:val="single"/>
        </w:rPr>
        <w:t>人，为本公司正式员工，正常缴纳社会保险。</w:t>
      </w:r>
      <w:r>
        <w:rPr>
          <w:rFonts w:hint="eastAsia" w:ascii="宋体" w:hAnsi="宋体" w:eastAsia="宋体" w:cs="宋体"/>
          <w:b/>
          <w:i/>
          <w:color w:val="auto"/>
          <w:sz w:val="21"/>
          <w:szCs w:val="21"/>
          <w:highlight w:val="none"/>
          <w:u w:val="single"/>
        </w:rPr>
        <w:t>(提供供应商为其缴纳的</w:t>
      </w:r>
      <w:r>
        <w:rPr>
          <w:rFonts w:hint="eastAsia" w:ascii="宋体" w:hAnsi="宋体" w:eastAsia="宋体" w:cs="宋体"/>
          <w:b/>
          <w:bCs/>
          <w:i/>
          <w:iCs/>
          <w:color w:val="auto"/>
          <w:sz w:val="21"/>
          <w:szCs w:val="21"/>
          <w:highlight w:val="none"/>
          <w:u w:val="single"/>
          <w:lang w:val="en-US" w:eastAsia="zh-CN"/>
        </w:rPr>
        <w:t>近</w:t>
      </w:r>
      <w:r>
        <w:rPr>
          <w:rFonts w:hint="eastAsia" w:ascii="宋体" w:hAnsi="宋体" w:eastAsia="宋体" w:cs="宋体"/>
          <w:b/>
          <w:bCs/>
          <w:i/>
          <w:iCs/>
          <w:color w:val="auto"/>
          <w:sz w:val="21"/>
          <w:szCs w:val="21"/>
          <w:highlight w:val="none"/>
          <w:u w:val="single"/>
        </w:rPr>
        <w:t>三个月</w:t>
      </w:r>
      <w:r>
        <w:rPr>
          <w:rFonts w:hint="eastAsia" w:ascii="宋体" w:hAnsi="宋体" w:eastAsia="宋体" w:cs="宋体"/>
          <w:b/>
          <w:bCs/>
          <w:i/>
          <w:iCs/>
          <w:color w:val="auto"/>
          <w:sz w:val="21"/>
          <w:szCs w:val="21"/>
          <w:highlight w:val="none"/>
          <w:u w:val="single"/>
          <w:lang w:eastAsia="zh-CN"/>
        </w:rPr>
        <w:t>（</w:t>
      </w:r>
      <w:r>
        <w:rPr>
          <w:rFonts w:hint="eastAsia" w:ascii="宋体" w:hAnsi="宋体" w:eastAsia="宋体" w:cs="宋体"/>
          <w:b/>
          <w:i/>
          <w:color w:val="auto"/>
          <w:sz w:val="21"/>
          <w:szCs w:val="21"/>
          <w:highlight w:val="none"/>
          <w:u w:val="single"/>
        </w:rPr>
        <w:t>202</w:t>
      </w:r>
      <w:r>
        <w:rPr>
          <w:rFonts w:hint="eastAsia" w:ascii="宋体" w:hAnsi="宋体" w:eastAsia="宋体" w:cs="宋体"/>
          <w:b/>
          <w:i/>
          <w:color w:val="auto"/>
          <w:sz w:val="21"/>
          <w:szCs w:val="21"/>
          <w:highlight w:val="none"/>
          <w:u w:val="single"/>
          <w:lang w:val="en-US" w:eastAsia="zh-CN"/>
        </w:rPr>
        <w:t>6</w:t>
      </w:r>
      <w:r>
        <w:rPr>
          <w:rFonts w:hint="eastAsia" w:ascii="宋体" w:hAnsi="宋体" w:eastAsia="宋体" w:cs="宋体"/>
          <w:b/>
          <w:i/>
          <w:color w:val="auto"/>
          <w:sz w:val="21"/>
          <w:szCs w:val="21"/>
          <w:highlight w:val="none"/>
          <w:u w:val="single"/>
        </w:rPr>
        <w:t>年</w:t>
      </w:r>
      <w:r>
        <w:rPr>
          <w:rFonts w:hint="eastAsia" w:ascii="宋体" w:hAnsi="宋体" w:cs="宋体"/>
          <w:b/>
          <w:i/>
          <w:color w:val="auto"/>
          <w:sz w:val="21"/>
          <w:szCs w:val="21"/>
          <w:highlight w:val="none"/>
          <w:u w:val="single"/>
          <w:lang w:val="en-US" w:eastAsia="zh-CN"/>
        </w:rPr>
        <w:t>2</w:t>
      </w:r>
      <w:r>
        <w:rPr>
          <w:rFonts w:hint="eastAsia" w:ascii="宋体" w:hAnsi="宋体" w:eastAsia="宋体" w:cs="宋体"/>
          <w:b/>
          <w:i/>
          <w:color w:val="auto"/>
          <w:sz w:val="21"/>
          <w:szCs w:val="21"/>
          <w:highlight w:val="none"/>
          <w:u w:val="single"/>
        </w:rPr>
        <w:t>月至202</w:t>
      </w:r>
      <w:r>
        <w:rPr>
          <w:rFonts w:hint="eastAsia" w:ascii="宋体" w:hAnsi="宋体" w:eastAsia="宋体" w:cs="宋体"/>
          <w:b/>
          <w:i/>
          <w:color w:val="auto"/>
          <w:sz w:val="21"/>
          <w:szCs w:val="21"/>
          <w:highlight w:val="none"/>
          <w:u w:val="single"/>
          <w:lang w:val="en-US" w:eastAsia="zh-CN"/>
        </w:rPr>
        <w:t>6</w:t>
      </w:r>
      <w:r>
        <w:rPr>
          <w:rFonts w:hint="eastAsia" w:ascii="宋体" w:hAnsi="宋体" w:eastAsia="宋体" w:cs="宋体"/>
          <w:b/>
          <w:i/>
          <w:color w:val="auto"/>
          <w:sz w:val="21"/>
          <w:szCs w:val="21"/>
          <w:highlight w:val="none"/>
          <w:u w:val="single"/>
        </w:rPr>
        <w:t>年</w:t>
      </w:r>
      <w:r>
        <w:rPr>
          <w:rFonts w:hint="eastAsia" w:ascii="宋体" w:hAnsi="宋体" w:cs="宋体"/>
          <w:b/>
          <w:i/>
          <w:color w:val="auto"/>
          <w:sz w:val="21"/>
          <w:szCs w:val="21"/>
          <w:highlight w:val="none"/>
          <w:u w:val="single"/>
          <w:lang w:val="en-US" w:eastAsia="zh-CN"/>
        </w:rPr>
        <w:t>4</w:t>
      </w:r>
      <w:r>
        <w:rPr>
          <w:rFonts w:hint="eastAsia" w:ascii="宋体" w:hAnsi="宋体" w:eastAsia="宋体" w:cs="宋体"/>
          <w:b/>
          <w:i/>
          <w:color w:val="auto"/>
          <w:sz w:val="21"/>
          <w:szCs w:val="21"/>
          <w:highlight w:val="none"/>
          <w:u w:val="single"/>
        </w:rPr>
        <w:t>月</w:t>
      </w:r>
      <w:r>
        <w:rPr>
          <w:rFonts w:hint="eastAsia" w:ascii="宋体" w:hAnsi="宋体" w:eastAsia="宋体" w:cs="宋体"/>
          <w:b/>
          <w:bCs/>
          <w:i/>
          <w:iCs/>
          <w:color w:val="auto"/>
          <w:sz w:val="21"/>
          <w:szCs w:val="21"/>
          <w:highlight w:val="none"/>
          <w:u w:val="single"/>
          <w:lang w:eastAsia="zh-CN"/>
        </w:rPr>
        <w:t>）</w:t>
      </w:r>
      <w:r>
        <w:rPr>
          <w:rFonts w:hint="eastAsia" w:ascii="宋体" w:hAnsi="宋体" w:eastAsia="宋体" w:cs="宋体"/>
          <w:b/>
          <w:bCs/>
          <w:i/>
          <w:iCs/>
          <w:color w:val="auto"/>
          <w:sz w:val="21"/>
          <w:szCs w:val="21"/>
          <w:highlight w:val="none"/>
          <w:u w:val="single"/>
        </w:rPr>
        <w:t>内任意一个月</w:t>
      </w:r>
      <w:r>
        <w:rPr>
          <w:rFonts w:hint="eastAsia" w:ascii="宋体" w:hAnsi="宋体" w:eastAsia="宋体" w:cs="宋体"/>
          <w:b/>
          <w:i/>
          <w:color w:val="auto"/>
          <w:sz w:val="21"/>
          <w:szCs w:val="21"/>
          <w:highlight w:val="none"/>
          <w:u w:val="single"/>
        </w:rPr>
        <w:t>的社保证明，复印件加盖供应商公章，原件备查)</w:t>
      </w:r>
    </w:p>
    <w:p w14:paraId="63B9B144">
      <w:pPr>
        <w:keepNext w:val="0"/>
        <w:keepLines w:val="0"/>
        <w:pageBreakBefore w:val="0"/>
        <w:widowControl w:val="0"/>
        <w:kinsoku/>
        <w:wordWrap/>
        <w:overflowPunct/>
        <w:topLinePunct w:val="0"/>
        <w:autoSpaceDE/>
        <w:autoSpaceDN/>
        <w:bidi w:val="0"/>
        <w:adjustRightInd/>
        <w:spacing w:line="360" w:lineRule="auto"/>
        <w:ind w:firstLine="396" w:firstLineChars="200"/>
        <w:textAlignment w:val="auto"/>
        <w:rPr>
          <w:rFonts w:hint="eastAsia" w:ascii="宋体" w:hAnsi="宋体" w:eastAsia="宋体" w:cs="宋体"/>
          <w:b/>
          <w:i/>
          <w:iCs/>
          <w:color w:val="auto"/>
          <w:spacing w:val="-6"/>
          <w:sz w:val="21"/>
          <w:szCs w:val="21"/>
          <w:highlight w:val="none"/>
          <w:u w:val="single"/>
        </w:rPr>
      </w:pPr>
      <w:r>
        <w:rPr>
          <w:rFonts w:hint="eastAsia" w:ascii="宋体" w:hAnsi="宋体" w:eastAsia="宋体" w:cs="宋体"/>
          <w:i/>
          <w:iCs/>
          <w:color w:val="auto"/>
          <w:spacing w:val="-6"/>
          <w:sz w:val="21"/>
          <w:szCs w:val="21"/>
          <w:highlight w:val="none"/>
          <w:u w:val="single"/>
        </w:rPr>
        <w:t>3.6供应商为本项目授权委托人缴纳的</w:t>
      </w:r>
      <w:r>
        <w:rPr>
          <w:rFonts w:hint="eastAsia" w:ascii="宋体" w:hAnsi="宋体" w:eastAsia="宋体" w:cs="宋体"/>
          <w:b/>
          <w:bCs/>
          <w:i/>
          <w:iCs/>
          <w:color w:val="auto"/>
          <w:sz w:val="21"/>
          <w:szCs w:val="21"/>
          <w:highlight w:val="none"/>
          <w:u w:val="single"/>
          <w:lang w:val="en-US" w:eastAsia="zh-CN"/>
        </w:rPr>
        <w:t>近</w:t>
      </w:r>
      <w:r>
        <w:rPr>
          <w:rFonts w:hint="eastAsia" w:ascii="宋体" w:hAnsi="宋体" w:eastAsia="宋体" w:cs="宋体"/>
          <w:b/>
          <w:bCs/>
          <w:i/>
          <w:iCs/>
          <w:color w:val="auto"/>
          <w:sz w:val="21"/>
          <w:szCs w:val="21"/>
          <w:highlight w:val="none"/>
          <w:u w:val="single"/>
        </w:rPr>
        <w:t>三个月</w:t>
      </w:r>
      <w:r>
        <w:rPr>
          <w:rFonts w:hint="eastAsia" w:ascii="宋体" w:hAnsi="宋体" w:eastAsia="宋体" w:cs="宋体"/>
          <w:b/>
          <w:bCs/>
          <w:i/>
          <w:iCs/>
          <w:color w:val="auto"/>
          <w:sz w:val="21"/>
          <w:szCs w:val="21"/>
          <w:highlight w:val="none"/>
          <w:u w:val="single"/>
          <w:lang w:eastAsia="zh-CN"/>
        </w:rPr>
        <w:t>（</w:t>
      </w:r>
      <w:r>
        <w:rPr>
          <w:rFonts w:hint="eastAsia" w:ascii="宋体" w:hAnsi="宋体" w:eastAsia="宋体" w:cs="宋体"/>
          <w:b/>
          <w:i/>
          <w:color w:val="auto"/>
          <w:sz w:val="21"/>
          <w:szCs w:val="21"/>
          <w:highlight w:val="none"/>
          <w:u w:val="single"/>
        </w:rPr>
        <w:t>202</w:t>
      </w:r>
      <w:r>
        <w:rPr>
          <w:rFonts w:hint="eastAsia" w:ascii="宋体" w:hAnsi="宋体" w:eastAsia="宋体" w:cs="宋体"/>
          <w:b/>
          <w:i/>
          <w:color w:val="auto"/>
          <w:sz w:val="21"/>
          <w:szCs w:val="21"/>
          <w:highlight w:val="none"/>
          <w:u w:val="single"/>
          <w:lang w:val="en-US" w:eastAsia="zh-CN"/>
        </w:rPr>
        <w:t>6</w:t>
      </w:r>
      <w:r>
        <w:rPr>
          <w:rFonts w:hint="eastAsia" w:ascii="宋体" w:hAnsi="宋体" w:eastAsia="宋体" w:cs="宋体"/>
          <w:b/>
          <w:i/>
          <w:color w:val="auto"/>
          <w:sz w:val="21"/>
          <w:szCs w:val="21"/>
          <w:highlight w:val="none"/>
          <w:u w:val="single"/>
        </w:rPr>
        <w:t>年</w:t>
      </w:r>
      <w:r>
        <w:rPr>
          <w:rFonts w:hint="eastAsia" w:ascii="宋体" w:hAnsi="宋体" w:cs="宋体"/>
          <w:b/>
          <w:i/>
          <w:color w:val="auto"/>
          <w:sz w:val="21"/>
          <w:szCs w:val="21"/>
          <w:highlight w:val="none"/>
          <w:u w:val="single"/>
          <w:lang w:val="en-US" w:eastAsia="zh-CN"/>
        </w:rPr>
        <w:t>2</w:t>
      </w:r>
      <w:r>
        <w:rPr>
          <w:rFonts w:hint="eastAsia" w:ascii="宋体" w:hAnsi="宋体" w:eastAsia="宋体" w:cs="宋体"/>
          <w:b/>
          <w:i/>
          <w:color w:val="auto"/>
          <w:sz w:val="21"/>
          <w:szCs w:val="21"/>
          <w:highlight w:val="none"/>
          <w:u w:val="single"/>
        </w:rPr>
        <w:t>月至202</w:t>
      </w:r>
      <w:r>
        <w:rPr>
          <w:rFonts w:hint="eastAsia" w:ascii="宋体" w:hAnsi="宋体" w:eastAsia="宋体" w:cs="宋体"/>
          <w:b/>
          <w:i/>
          <w:color w:val="auto"/>
          <w:sz w:val="21"/>
          <w:szCs w:val="21"/>
          <w:highlight w:val="none"/>
          <w:u w:val="single"/>
          <w:lang w:val="en-US" w:eastAsia="zh-CN"/>
        </w:rPr>
        <w:t>6</w:t>
      </w:r>
      <w:r>
        <w:rPr>
          <w:rFonts w:hint="eastAsia" w:ascii="宋体" w:hAnsi="宋体" w:eastAsia="宋体" w:cs="宋体"/>
          <w:b/>
          <w:i/>
          <w:color w:val="auto"/>
          <w:sz w:val="21"/>
          <w:szCs w:val="21"/>
          <w:highlight w:val="none"/>
          <w:u w:val="single"/>
        </w:rPr>
        <w:t>年</w:t>
      </w:r>
      <w:r>
        <w:rPr>
          <w:rFonts w:hint="eastAsia" w:ascii="宋体" w:hAnsi="宋体" w:cs="宋体"/>
          <w:b/>
          <w:i/>
          <w:color w:val="auto"/>
          <w:sz w:val="21"/>
          <w:szCs w:val="21"/>
          <w:highlight w:val="none"/>
          <w:u w:val="single"/>
          <w:lang w:val="en-US" w:eastAsia="zh-CN"/>
        </w:rPr>
        <w:t>4</w:t>
      </w:r>
      <w:r>
        <w:rPr>
          <w:rFonts w:hint="eastAsia" w:ascii="宋体" w:hAnsi="宋体" w:eastAsia="宋体" w:cs="宋体"/>
          <w:b/>
          <w:i/>
          <w:color w:val="auto"/>
          <w:sz w:val="21"/>
          <w:szCs w:val="21"/>
          <w:highlight w:val="none"/>
          <w:u w:val="single"/>
        </w:rPr>
        <w:t>月</w:t>
      </w:r>
      <w:r>
        <w:rPr>
          <w:rFonts w:hint="eastAsia" w:ascii="宋体" w:hAnsi="宋体" w:eastAsia="宋体" w:cs="宋体"/>
          <w:b/>
          <w:bCs/>
          <w:i/>
          <w:iCs/>
          <w:color w:val="auto"/>
          <w:sz w:val="21"/>
          <w:szCs w:val="21"/>
          <w:highlight w:val="none"/>
          <w:u w:val="single"/>
          <w:lang w:eastAsia="zh-CN"/>
        </w:rPr>
        <w:t>）</w:t>
      </w:r>
      <w:r>
        <w:rPr>
          <w:rFonts w:hint="eastAsia" w:ascii="宋体" w:hAnsi="宋体" w:eastAsia="宋体" w:cs="宋体"/>
          <w:b/>
          <w:bCs/>
          <w:i/>
          <w:iCs/>
          <w:color w:val="auto"/>
          <w:sz w:val="21"/>
          <w:szCs w:val="21"/>
          <w:highlight w:val="none"/>
          <w:u w:val="single"/>
        </w:rPr>
        <w:t>内任意一个月</w:t>
      </w:r>
      <w:r>
        <w:rPr>
          <w:rFonts w:hint="eastAsia" w:ascii="宋体" w:hAnsi="宋体" w:eastAsia="宋体" w:cs="宋体"/>
          <w:i/>
          <w:iCs/>
          <w:color w:val="auto"/>
          <w:spacing w:val="-6"/>
          <w:sz w:val="21"/>
          <w:szCs w:val="21"/>
          <w:highlight w:val="none"/>
          <w:u w:val="single"/>
        </w:rPr>
        <w:t>的社保证明</w:t>
      </w:r>
      <w:r>
        <w:rPr>
          <w:rFonts w:hint="eastAsia" w:ascii="宋体" w:hAnsi="宋体" w:eastAsia="宋体" w:cs="宋体"/>
          <w:b/>
          <w:i/>
          <w:iCs/>
          <w:color w:val="auto"/>
          <w:spacing w:val="-6"/>
          <w:sz w:val="21"/>
          <w:szCs w:val="21"/>
          <w:highlight w:val="none"/>
          <w:u w:val="single"/>
        </w:rPr>
        <w:t>(复印件加盖供应商公章)</w:t>
      </w:r>
    </w:p>
    <w:p w14:paraId="1E2F405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4、拒绝下述供应商参加本次采购活动：</w:t>
      </w:r>
    </w:p>
    <w:p w14:paraId="78233FE7">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（1）供应商单位负责人为同一人或者存在直接控股、管理关系的不同供应商，不得参加同一合同项下的采购活动。</w:t>
      </w:r>
    </w:p>
    <w:p w14:paraId="536E36B0">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（2）凡为采购项目提供整体设计、规范编制或者项目管理、检测等服务的供应商，不得再参加该项目的其他采购活动。</w:t>
      </w:r>
    </w:p>
    <w:p w14:paraId="2E920CE9">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（3）供应商被“信用中国”网站、“中国政府采购网"列入失信被执行人、重大税收违法案件当事人名单、采购严重违法失信行为记录名单。</w:t>
      </w:r>
    </w:p>
    <w:p w14:paraId="016B2B17">
      <w:pPr>
        <w:pageBreakBefore w:val="0"/>
        <w:tabs>
          <w:tab w:val="left" w:pos="900"/>
        </w:tabs>
        <w:kinsoku/>
        <w:wordWrap/>
        <w:overflowPunct/>
        <w:topLinePunct w:val="0"/>
        <w:autoSpaceDE/>
        <w:autoSpaceDN/>
        <w:bidi w:val="0"/>
        <w:adjustRightInd/>
        <w:spacing w:line="360" w:lineRule="auto"/>
        <w:ind w:left="0" w:right="0" w:firstLine="422" w:firstLineChars="200"/>
        <w:textAlignment w:val="auto"/>
        <w:rPr>
          <w:rFonts w:hint="eastAsia" w:ascii="宋体" w:hAnsi="宋体" w:eastAsia="宋体" w:cs="宋体"/>
          <w:b/>
          <w:bCs/>
          <w:color w:val="auto"/>
          <w:szCs w:val="21"/>
          <w:highlight w:val="none"/>
        </w:rPr>
      </w:pPr>
      <w:bookmarkStart w:id="11" w:name="_Toc35393631"/>
      <w:bookmarkStart w:id="12" w:name="_Toc35393800"/>
      <w:r>
        <w:rPr>
          <w:rFonts w:hint="eastAsia" w:ascii="宋体" w:hAnsi="宋体" w:eastAsia="宋体" w:cs="宋体"/>
          <w:b/>
          <w:bCs/>
          <w:color w:val="auto"/>
          <w:szCs w:val="21"/>
          <w:highlight w:val="none"/>
        </w:rPr>
        <w:t>三、获取竞争性磋商文件</w:t>
      </w:r>
    </w:p>
    <w:bookmarkEnd w:id="11"/>
    <w:bookmarkEnd w:id="12"/>
    <w:p w14:paraId="42AD8568">
      <w:pPr>
        <w:pageBreakBefore w:val="0"/>
        <w:kinsoku/>
        <w:wordWrap/>
        <w:overflowPunct/>
        <w:topLinePunct w:val="0"/>
        <w:autoSpaceDE/>
        <w:autoSpaceDN/>
        <w:bidi w:val="0"/>
        <w:adjustRightInd/>
        <w:spacing w:line="360" w:lineRule="auto"/>
        <w:ind w:left="0" w:right="0" w:firstLine="420" w:firstLineChars="200"/>
        <w:textAlignment w:val="auto"/>
        <w:rPr>
          <w:rFonts w:hint="eastAsia" w:ascii="宋体" w:hAnsi="宋体" w:eastAsia="宋体" w:cs="宋体"/>
          <w:color w:val="auto"/>
          <w:szCs w:val="21"/>
          <w:highlight w:val="none"/>
          <w:u w:val="single"/>
        </w:rPr>
      </w:pPr>
      <w:bookmarkStart w:id="13" w:name="_Toc28359015"/>
      <w:bookmarkStart w:id="14" w:name="_Toc35393632"/>
      <w:bookmarkStart w:id="15" w:name="_Toc35393801"/>
      <w:bookmarkStart w:id="16" w:name="_Toc28359092"/>
      <w:r>
        <w:rPr>
          <w:rFonts w:hint="eastAsia" w:ascii="宋体" w:hAnsi="宋体" w:eastAsia="宋体" w:cs="宋体"/>
          <w:color w:val="auto"/>
          <w:szCs w:val="21"/>
          <w:highlight w:val="none"/>
        </w:rPr>
        <w:t>1、时间：</w:t>
      </w:r>
      <w:r>
        <w:rPr>
          <w:rFonts w:hint="eastAsia" w:ascii="宋体" w:hAnsi="宋体" w:eastAsia="宋体" w:cs="宋体"/>
          <w:b/>
          <w:bCs/>
          <w:color w:val="auto"/>
          <w:szCs w:val="21"/>
          <w:highlight w:val="none"/>
        </w:rPr>
        <w:t>202</w:t>
      </w: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rPr>
        <w:t>年</w:t>
      </w:r>
      <w:r>
        <w:rPr>
          <w:rFonts w:hint="eastAsia" w:ascii="宋体" w:hAnsi="宋体" w:cs="宋体"/>
          <w:b/>
          <w:bCs/>
          <w:color w:val="auto"/>
          <w:szCs w:val="21"/>
          <w:highlight w:val="none"/>
          <w:lang w:val="en-US" w:eastAsia="zh-CN"/>
        </w:rPr>
        <w:t>5</w:t>
      </w:r>
      <w:r>
        <w:rPr>
          <w:rFonts w:hint="eastAsia" w:ascii="宋体" w:hAnsi="宋体" w:eastAsia="宋体" w:cs="宋体"/>
          <w:b/>
          <w:bCs/>
          <w:color w:val="auto"/>
          <w:szCs w:val="21"/>
          <w:highlight w:val="none"/>
        </w:rPr>
        <w:t>月</w:t>
      </w:r>
      <w:r>
        <w:rPr>
          <w:rFonts w:hint="eastAsia" w:ascii="宋体" w:hAnsi="宋体" w:cs="宋体"/>
          <w:b/>
          <w:bCs/>
          <w:color w:val="auto"/>
          <w:szCs w:val="21"/>
          <w:highlight w:val="none"/>
          <w:lang w:val="en-US" w:eastAsia="zh-CN"/>
        </w:rPr>
        <w:t>9</w:t>
      </w:r>
      <w:r>
        <w:rPr>
          <w:rFonts w:hint="eastAsia" w:ascii="宋体" w:hAnsi="宋体" w:eastAsia="宋体" w:cs="宋体"/>
          <w:b/>
          <w:bCs/>
          <w:color w:val="auto"/>
          <w:szCs w:val="21"/>
          <w:highlight w:val="none"/>
        </w:rPr>
        <w:t>日至202</w:t>
      </w: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rPr>
        <w:t>年</w:t>
      </w:r>
      <w:r>
        <w:rPr>
          <w:rFonts w:hint="eastAsia" w:ascii="宋体" w:hAnsi="宋体" w:cs="宋体"/>
          <w:b/>
          <w:bCs/>
          <w:color w:val="auto"/>
          <w:szCs w:val="21"/>
          <w:highlight w:val="none"/>
          <w:lang w:val="en-US" w:eastAsia="zh-CN"/>
        </w:rPr>
        <w:t>5月15</w:t>
      </w:r>
      <w:r>
        <w:rPr>
          <w:rFonts w:hint="eastAsia" w:ascii="宋体" w:hAnsi="宋体" w:eastAsia="宋体" w:cs="宋体"/>
          <w:b/>
          <w:bCs/>
          <w:color w:val="auto"/>
          <w:szCs w:val="21"/>
          <w:highlight w:val="none"/>
        </w:rPr>
        <w:t xml:space="preserve">日 (北京时间) </w:t>
      </w:r>
      <w:r>
        <w:rPr>
          <w:rFonts w:hint="eastAsia" w:ascii="宋体" w:hAnsi="宋体" w:eastAsia="宋体" w:cs="宋体"/>
          <w:color w:val="auto"/>
          <w:szCs w:val="21"/>
          <w:highlight w:val="none"/>
        </w:rPr>
        <w:t xml:space="preserve">     </w:t>
      </w:r>
    </w:p>
    <w:p w14:paraId="13902FC2">
      <w:pPr>
        <w:keepNext w:val="0"/>
        <w:keepLines w:val="0"/>
        <w:pageBreakBefore w:val="0"/>
        <w:kinsoku/>
        <w:wordWrap/>
        <w:overflowPunct/>
        <w:topLinePunct w:val="0"/>
        <w:autoSpaceDE/>
        <w:autoSpaceDN/>
        <w:bidi w:val="0"/>
        <w:adjustRightInd/>
        <w:spacing w:line="360" w:lineRule="auto"/>
        <w:ind w:left="0" w:right="0" w:firstLine="396" w:firstLineChars="200"/>
        <w:textAlignment w:val="auto"/>
        <w:rPr>
          <w:rFonts w:hint="eastAsia" w:ascii="宋体" w:hAnsi="宋体" w:eastAsia="宋体" w:cs="宋体"/>
          <w:color w:val="auto"/>
          <w:spacing w:val="-6"/>
          <w:sz w:val="21"/>
          <w:szCs w:val="21"/>
          <w:highlight w:val="none"/>
          <w:u w:val="single"/>
          <w:lang w:val="en-US"/>
        </w:rPr>
      </w:pPr>
      <w:r>
        <w:rPr>
          <w:rFonts w:hint="eastAsia" w:ascii="宋体" w:hAnsi="宋体" w:eastAsia="宋体" w:cs="宋体"/>
          <w:color w:val="auto"/>
          <w:spacing w:val="-6"/>
          <w:sz w:val="21"/>
          <w:szCs w:val="21"/>
          <w:highlight w:val="none"/>
        </w:rPr>
        <w:t>2、地点：</w:t>
      </w:r>
      <w:r>
        <w:rPr>
          <w:rFonts w:hint="eastAsia" w:ascii="宋体" w:hAnsi="宋体" w:eastAsia="宋体" w:cs="宋体"/>
          <w:color w:val="auto"/>
          <w:spacing w:val="-6"/>
          <w:sz w:val="21"/>
          <w:szCs w:val="21"/>
          <w:highlight w:val="none"/>
          <w:u w:val="none"/>
          <w:lang w:eastAsia="zh-CN"/>
        </w:rPr>
        <w:t>“扬州市公共资源交易平台邗江分中心国企采购栏目”、“扬州维扬发展投资有限公司网站”</w:t>
      </w:r>
    </w:p>
    <w:p w14:paraId="7AF408D6">
      <w:pPr>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3、方式：自行免费下载磋商文件。供应商如确定参加磋商，请如实填写《供应商参加磋商确认函》，并加盖供应商公章拍照或扫描发送至邮箱进行登记（电子邮箱：</w:t>
      </w:r>
      <w:r>
        <w:rPr>
          <w:rFonts w:hint="eastAsia" w:ascii="宋体" w:hAnsi="宋体" w:eastAsia="宋体" w:cs="宋体"/>
          <w:color w:val="auto"/>
          <w:szCs w:val="21"/>
          <w:highlight w:val="none"/>
          <w:u w:val="none"/>
        </w:rPr>
        <w:t>1024493245@qq.com</w:t>
      </w:r>
      <w:r>
        <w:rPr>
          <w:rFonts w:hint="eastAsia" w:ascii="宋体" w:hAnsi="宋体" w:eastAsia="宋体" w:cs="宋体"/>
          <w:color w:val="auto"/>
          <w:szCs w:val="21"/>
          <w:highlight w:val="none"/>
        </w:rPr>
        <w:t>，邮件标题请备注公司全称+项目名称，联系电话：0514-89787280  17361843750），提交确认函截止时间202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rPr>
        <w:t>日17</w:t>
      </w:r>
      <w:r>
        <w:rPr>
          <w:rFonts w:hint="eastAsia" w:ascii="宋体" w:hAnsi="宋体" w:eastAsia="宋体" w:cs="宋体"/>
          <w:color w:val="auto"/>
          <w:szCs w:val="21"/>
          <w:highlight w:val="none"/>
          <w:lang w:val="en-US" w:eastAsia="zh-CN"/>
        </w:rPr>
        <w:t>点</w:t>
      </w: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rPr>
        <w:t>。同时需与采购代理机构经办人确认是否收到《供应商参加磋商确认函》，如供应商未按上述要求去做，将自行承担所产生的风险。未报名（提交确认函）者、超过时限者不得前来投标，内容不全者后果自负。有关本次磋商的事项若存在变动或修改，敬请及时关注</w:t>
      </w:r>
      <w:r>
        <w:rPr>
          <w:rFonts w:hint="eastAsia" w:ascii="宋体" w:hAnsi="宋体" w:eastAsia="宋体" w:cs="宋体"/>
          <w:color w:val="auto"/>
          <w:szCs w:val="21"/>
          <w:highlight w:val="none"/>
          <w:u w:val="none"/>
          <w:lang w:eastAsia="zh-CN"/>
        </w:rPr>
        <w:t>“扬州市公共资源交易平台邗江分中心国企采购栏目”、“扬州维扬发展投资有限公司网站”</w:t>
      </w:r>
      <w:r>
        <w:rPr>
          <w:rFonts w:hint="eastAsia" w:ascii="宋体" w:hAnsi="宋体" w:eastAsia="宋体" w:cs="宋体"/>
          <w:color w:val="auto"/>
          <w:szCs w:val="21"/>
          <w:highlight w:val="none"/>
        </w:rPr>
        <w:t>发布的信息或更正公告。</w:t>
      </w:r>
    </w:p>
    <w:bookmarkEnd w:id="13"/>
    <w:bookmarkEnd w:id="14"/>
    <w:bookmarkEnd w:id="15"/>
    <w:bookmarkEnd w:id="16"/>
    <w:p w14:paraId="188F593C">
      <w:pPr>
        <w:pStyle w:val="12"/>
        <w:pageBreakBefore w:val="0"/>
        <w:kinsoku/>
        <w:wordWrap/>
        <w:overflowPunct/>
        <w:topLinePunct w:val="0"/>
        <w:autoSpaceDE/>
        <w:autoSpaceDN/>
        <w:bidi w:val="0"/>
        <w:adjustRightInd/>
        <w:spacing w:before="0" w:after="0" w:line="360" w:lineRule="auto"/>
        <w:ind w:left="0" w:right="0" w:firstLine="422" w:firstLineChars="200"/>
        <w:jc w:val="left"/>
        <w:textAlignment w:val="auto"/>
        <w:rPr>
          <w:rFonts w:hint="eastAsia" w:ascii="宋体" w:hAnsi="宋体" w:eastAsia="宋体" w:cs="宋体"/>
          <w:color w:val="auto"/>
          <w:sz w:val="21"/>
          <w:szCs w:val="21"/>
          <w:highlight w:val="none"/>
          <w:lang w:val="en-US" w:eastAsia="zh-CN"/>
        </w:rPr>
      </w:pPr>
      <w:bookmarkStart w:id="17" w:name="_Toc13105"/>
      <w:bookmarkStart w:id="18" w:name="_Toc35393803"/>
      <w:bookmarkStart w:id="19" w:name="_Toc28359094"/>
      <w:bookmarkStart w:id="20" w:name="_Toc28359017"/>
      <w:bookmarkStart w:id="21" w:name="_Toc35393634"/>
      <w:r>
        <w:rPr>
          <w:rFonts w:hint="eastAsia" w:ascii="宋体" w:hAnsi="宋体" w:eastAsia="宋体" w:cs="宋体"/>
          <w:color w:val="auto"/>
          <w:sz w:val="21"/>
          <w:szCs w:val="21"/>
          <w:highlight w:val="none"/>
        </w:rPr>
        <w:t>四、提交响应文件</w:t>
      </w:r>
      <w:r>
        <w:rPr>
          <w:rFonts w:hint="eastAsia" w:ascii="宋体" w:hAnsi="宋体" w:eastAsia="宋体" w:cs="宋体"/>
          <w:color w:val="auto"/>
          <w:sz w:val="21"/>
          <w:szCs w:val="21"/>
          <w:highlight w:val="none"/>
          <w:lang w:val="en-US" w:eastAsia="zh-CN"/>
        </w:rPr>
        <w:t>截止时间和地点</w:t>
      </w:r>
      <w:bookmarkEnd w:id="17"/>
    </w:p>
    <w:p w14:paraId="5BC56B83">
      <w:pPr>
        <w:pageBreakBefore w:val="0"/>
        <w:kinsoku/>
        <w:wordWrap/>
        <w:overflowPunct/>
        <w:topLinePunct w:val="0"/>
        <w:autoSpaceDE/>
        <w:autoSpaceDN/>
        <w:bidi w:val="0"/>
        <w:adjustRightInd/>
        <w:spacing w:line="360" w:lineRule="auto"/>
        <w:ind w:left="0" w:right="0" w:firstLine="420" w:firstLineChars="200"/>
        <w:textAlignment w:val="auto"/>
        <w:rPr>
          <w:rFonts w:hint="eastAsia" w:ascii="宋体" w:hAnsi="宋体" w:eastAsia="宋体" w:cs="宋体"/>
          <w:iCs/>
          <w:color w:val="auto"/>
          <w:szCs w:val="21"/>
          <w:highlight w:val="none"/>
        </w:rPr>
      </w:pPr>
      <w:r>
        <w:rPr>
          <w:rFonts w:hint="eastAsia" w:ascii="宋体" w:hAnsi="宋体" w:eastAsia="宋体" w:cs="宋体"/>
          <w:color w:val="auto"/>
          <w:szCs w:val="21"/>
          <w:highlight w:val="none"/>
        </w:rPr>
        <w:t>1、提交响应文件截止时间：</w:t>
      </w:r>
      <w:r>
        <w:rPr>
          <w:rFonts w:hint="eastAsia" w:ascii="宋体" w:hAnsi="宋体" w:eastAsia="宋体" w:cs="宋体"/>
          <w:b w:val="0"/>
          <w:bCs w:val="0"/>
          <w:color w:val="auto"/>
          <w:szCs w:val="21"/>
          <w:highlight w:val="none"/>
        </w:rPr>
        <w:t>202</w:t>
      </w:r>
      <w:r>
        <w:rPr>
          <w:rFonts w:hint="eastAsia" w:ascii="宋体" w:hAnsi="宋体" w:eastAsia="宋体" w:cs="宋体"/>
          <w:b w:val="0"/>
          <w:bCs w:val="0"/>
          <w:color w:val="auto"/>
          <w:szCs w:val="21"/>
          <w:highlight w:val="none"/>
          <w:lang w:val="en-US" w:eastAsia="zh-CN"/>
        </w:rPr>
        <w:t>6</w:t>
      </w:r>
      <w:r>
        <w:rPr>
          <w:rFonts w:hint="eastAsia" w:ascii="宋体" w:hAnsi="宋体" w:eastAsia="宋体" w:cs="宋体"/>
          <w:b w:val="0"/>
          <w:bCs w:val="0"/>
          <w:color w:val="auto"/>
          <w:szCs w:val="21"/>
          <w:highlight w:val="none"/>
        </w:rPr>
        <w:t>年</w:t>
      </w:r>
      <w:r>
        <w:rPr>
          <w:rFonts w:hint="eastAsia" w:ascii="宋体" w:hAnsi="宋体" w:cs="宋体"/>
          <w:b w:val="0"/>
          <w:bCs w:val="0"/>
          <w:color w:val="auto"/>
          <w:szCs w:val="21"/>
          <w:highlight w:val="none"/>
          <w:lang w:val="en-US" w:eastAsia="zh-CN"/>
        </w:rPr>
        <w:t>5</w:t>
      </w:r>
      <w:r>
        <w:rPr>
          <w:rFonts w:hint="eastAsia" w:ascii="宋体" w:hAnsi="宋体" w:eastAsia="宋体" w:cs="宋体"/>
          <w:b w:val="0"/>
          <w:bCs w:val="0"/>
          <w:color w:val="auto"/>
          <w:szCs w:val="21"/>
          <w:highlight w:val="none"/>
        </w:rPr>
        <w:t>月</w:t>
      </w:r>
      <w:r>
        <w:rPr>
          <w:rFonts w:hint="eastAsia" w:ascii="宋体" w:hAnsi="宋体" w:cs="宋体"/>
          <w:b w:val="0"/>
          <w:bCs w:val="0"/>
          <w:color w:val="auto"/>
          <w:szCs w:val="21"/>
          <w:highlight w:val="none"/>
          <w:lang w:val="en-US" w:eastAsia="zh-CN"/>
        </w:rPr>
        <w:t>21</w:t>
      </w:r>
      <w:r>
        <w:rPr>
          <w:rFonts w:hint="eastAsia" w:ascii="宋体" w:hAnsi="宋体" w:eastAsia="宋体" w:cs="宋体"/>
          <w:b w:val="0"/>
          <w:bCs w:val="0"/>
          <w:color w:val="auto"/>
          <w:szCs w:val="21"/>
          <w:highlight w:val="none"/>
        </w:rPr>
        <w:t>日</w:t>
      </w:r>
      <w:r>
        <w:rPr>
          <w:rFonts w:hint="eastAsia" w:ascii="宋体" w:hAnsi="宋体" w:eastAsia="宋体" w:cs="宋体"/>
          <w:b w:val="0"/>
          <w:bCs w:val="0"/>
          <w:color w:val="auto"/>
          <w:szCs w:val="21"/>
          <w:highlight w:val="none"/>
          <w:lang w:val="en-US" w:eastAsia="zh-CN"/>
        </w:rPr>
        <w:t>9</w:t>
      </w:r>
      <w:r>
        <w:rPr>
          <w:rFonts w:hint="eastAsia" w:ascii="宋体" w:hAnsi="宋体" w:eastAsia="宋体" w:cs="宋体"/>
          <w:b w:val="0"/>
          <w:bCs w:val="0"/>
          <w:color w:val="auto"/>
          <w:szCs w:val="21"/>
          <w:highlight w:val="none"/>
        </w:rPr>
        <w:t>点</w:t>
      </w:r>
      <w:r>
        <w:rPr>
          <w:rFonts w:hint="eastAsia" w:ascii="宋体" w:hAnsi="宋体" w:eastAsia="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rPr>
        <w:t>0分（北京时间）</w:t>
      </w:r>
    </w:p>
    <w:p w14:paraId="53CDCC65">
      <w:pPr>
        <w:pageBreakBefore w:val="0"/>
        <w:kinsoku/>
        <w:wordWrap/>
        <w:overflowPunct/>
        <w:topLinePunct w:val="0"/>
        <w:autoSpaceDE/>
        <w:autoSpaceDN/>
        <w:bidi w:val="0"/>
        <w:adjustRightInd/>
        <w:spacing w:line="360" w:lineRule="auto"/>
        <w:ind w:left="0" w:right="0"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2、提交响应文件地点：</w:t>
      </w:r>
      <w:r>
        <w:rPr>
          <w:rFonts w:hint="eastAsia" w:ascii="宋体" w:hAnsi="宋体" w:eastAsia="宋体" w:cs="宋体"/>
          <w:color w:val="auto"/>
          <w:spacing w:val="-6"/>
          <w:szCs w:val="21"/>
          <w:highlight w:val="none"/>
        </w:rPr>
        <w:t>江苏汇诚投资咨询管理有限公司开标室（扬州市邗江北路68号旺角三楼）</w:t>
      </w:r>
    </w:p>
    <w:p w14:paraId="493F42EB">
      <w:pPr>
        <w:pStyle w:val="12"/>
        <w:pageBreakBefore w:val="0"/>
        <w:kinsoku/>
        <w:wordWrap/>
        <w:overflowPunct/>
        <w:topLinePunct w:val="0"/>
        <w:autoSpaceDE/>
        <w:autoSpaceDN/>
        <w:bidi w:val="0"/>
        <w:adjustRightInd/>
        <w:spacing w:before="0" w:after="0" w:line="360" w:lineRule="auto"/>
        <w:ind w:left="0" w:right="0" w:firstLine="422" w:firstLineChars="200"/>
        <w:jc w:val="left"/>
        <w:textAlignment w:val="auto"/>
        <w:rPr>
          <w:rFonts w:hint="eastAsia" w:ascii="宋体" w:hAnsi="宋体" w:eastAsia="宋体" w:cs="宋体"/>
          <w:color w:val="auto"/>
          <w:sz w:val="21"/>
          <w:szCs w:val="21"/>
          <w:highlight w:val="none"/>
          <w:lang w:val="en-US" w:eastAsia="zh-CN"/>
        </w:rPr>
      </w:pPr>
      <w:bookmarkStart w:id="22" w:name="_Toc28359093"/>
      <w:bookmarkStart w:id="23" w:name="_Toc35393802"/>
      <w:bookmarkStart w:id="24" w:name="_Toc35393633"/>
      <w:bookmarkStart w:id="25" w:name="_Toc28359016"/>
      <w:bookmarkStart w:id="26" w:name="_Toc11424"/>
      <w:r>
        <w:rPr>
          <w:rFonts w:hint="eastAsia" w:ascii="宋体" w:hAnsi="宋体" w:eastAsia="宋体" w:cs="宋体"/>
          <w:color w:val="auto"/>
          <w:sz w:val="21"/>
          <w:szCs w:val="21"/>
          <w:highlight w:val="none"/>
        </w:rPr>
        <w:t>五、</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rPr>
        <w:t>开启</w:t>
      </w:r>
      <w:bookmarkEnd w:id="22"/>
      <w:bookmarkEnd w:id="23"/>
      <w:bookmarkEnd w:id="24"/>
      <w:bookmarkEnd w:id="25"/>
      <w:r>
        <w:rPr>
          <w:rFonts w:hint="eastAsia" w:ascii="宋体" w:hAnsi="宋体" w:eastAsia="宋体" w:cs="宋体"/>
          <w:color w:val="auto"/>
          <w:sz w:val="21"/>
          <w:szCs w:val="21"/>
          <w:highlight w:val="none"/>
          <w:lang w:val="en-US" w:eastAsia="zh-CN"/>
        </w:rPr>
        <w:t>时间和地点</w:t>
      </w:r>
      <w:bookmarkEnd w:id="26"/>
    </w:p>
    <w:p w14:paraId="4E075CB9">
      <w:pPr>
        <w:pageBreakBefore w:val="0"/>
        <w:kinsoku/>
        <w:wordWrap/>
        <w:overflowPunct/>
        <w:topLinePunct w:val="0"/>
        <w:autoSpaceDE/>
        <w:autoSpaceDN/>
        <w:bidi w:val="0"/>
        <w:adjustRightInd/>
        <w:spacing w:line="360" w:lineRule="auto"/>
        <w:ind w:left="0" w:righ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1、响应文件开启时间：</w:t>
      </w:r>
      <w:r>
        <w:rPr>
          <w:rFonts w:hint="eastAsia" w:ascii="宋体" w:hAnsi="宋体" w:eastAsia="宋体" w:cs="宋体"/>
          <w:b w:val="0"/>
          <w:bCs w:val="0"/>
          <w:color w:val="auto"/>
          <w:szCs w:val="21"/>
          <w:highlight w:val="none"/>
        </w:rPr>
        <w:t>202</w:t>
      </w:r>
      <w:r>
        <w:rPr>
          <w:rFonts w:hint="eastAsia" w:ascii="宋体" w:hAnsi="宋体" w:eastAsia="宋体" w:cs="宋体"/>
          <w:b w:val="0"/>
          <w:bCs w:val="0"/>
          <w:color w:val="auto"/>
          <w:szCs w:val="21"/>
          <w:highlight w:val="none"/>
          <w:lang w:val="en-US" w:eastAsia="zh-CN"/>
        </w:rPr>
        <w:t>6</w:t>
      </w:r>
      <w:r>
        <w:rPr>
          <w:rFonts w:hint="eastAsia" w:ascii="宋体" w:hAnsi="宋体" w:eastAsia="宋体" w:cs="宋体"/>
          <w:b w:val="0"/>
          <w:bCs w:val="0"/>
          <w:color w:val="auto"/>
          <w:szCs w:val="21"/>
          <w:highlight w:val="none"/>
        </w:rPr>
        <w:t>年</w:t>
      </w:r>
      <w:r>
        <w:rPr>
          <w:rFonts w:hint="eastAsia" w:ascii="宋体" w:hAnsi="宋体" w:cs="宋体"/>
          <w:b w:val="0"/>
          <w:bCs w:val="0"/>
          <w:color w:val="auto"/>
          <w:szCs w:val="21"/>
          <w:highlight w:val="none"/>
          <w:lang w:val="en-US" w:eastAsia="zh-CN"/>
        </w:rPr>
        <w:t>5</w:t>
      </w:r>
      <w:r>
        <w:rPr>
          <w:rFonts w:hint="eastAsia" w:ascii="宋体" w:hAnsi="宋体" w:eastAsia="宋体" w:cs="宋体"/>
          <w:b w:val="0"/>
          <w:bCs w:val="0"/>
          <w:color w:val="auto"/>
          <w:szCs w:val="21"/>
          <w:highlight w:val="none"/>
        </w:rPr>
        <w:t>月</w:t>
      </w:r>
      <w:r>
        <w:rPr>
          <w:rFonts w:hint="eastAsia" w:ascii="宋体" w:hAnsi="宋体" w:cs="宋体"/>
          <w:b w:val="0"/>
          <w:bCs w:val="0"/>
          <w:color w:val="auto"/>
          <w:szCs w:val="21"/>
          <w:highlight w:val="none"/>
          <w:lang w:val="en-US" w:eastAsia="zh-CN"/>
        </w:rPr>
        <w:t>21</w:t>
      </w:r>
      <w:r>
        <w:rPr>
          <w:rFonts w:hint="eastAsia" w:ascii="宋体" w:hAnsi="宋体" w:eastAsia="宋体" w:cs="宋体"/>
          <w:b w:val="0"/>
          <w:bCs w:val="0"/>
          <w:color w:val="auto"/>
          <w:szCs w:val="21"/>
          <w:highlight w:val="none"/>
        </w:rPr>
        <w:t>日</w:t>
      </w:r>
      <w:r>
        <w:rPr>
          <w:rFonts w:hint="eastAsia" w:ascii="宋体" w:hAnsi="宋体" w:eastAsia="宋体" w:cs="宋体"/>
          <w:b w:val="0"/>
          <w:bCs w:val="0"/>
          <w:color w:val="auto"/>
          <w:szCs w:val="21"/>
          <w:highlight w:val="none"/>
          <w:lang w:val="en-US" w:eastAsia="zh-CN"/>
        </w:rPr>
        <w:t>9</w:t>
      </w:r>
      <w:r>
        <w:rPr>
          <w:rFonts w:hint="eastAsia" w:ascii="宋体" w:hAnsi="宋体" w:eastAsia="宋体" w:cs="宋体"/>
          <w:b w:val="0"/>
          <w:bCs w:val="0"/>
          <w:color w:val="auto"/>
          <w:szCs w:val="21"/>
          <w:highlight w:val="none"/>
        </w:rPr>
        <w:t>点</w:t>
      </w:r>
      <w:r>
        <w:rPr>
          <w:rFonts w:hint="eastAsia" w:ascii="宋体" w:hAnsi="宋体" w:eastAsia="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rPr>
        <w:t>0分（北京时间）</w:t>
      </w:r>
    </w:p>
    <w:p w14:paraId="00815DAD">
      <w:pPr>
        <w:pageBreakBefore w:val="0"/>
        <w:kinsoku/>
        <w:wordWrap/>
        <w:overflowPunct/>
        <w:topLinePunct w:val="0"/>
        <w:autoSpaceDE/>
        <w:autoSpaceDN/>
        <w:bidi w:val="0"/>
        <w:adjustRightInd/>
        <w:spacing w:line="360" w:lineRule="auto"/>
        <w:ind w:left="0" w:righ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2、响应文件开启地点：江苏汇诚投资咨询管理有限公司开标室（扬州市邗江北路68号旺角三楼）</w:t>
      </w:r>
    </w:p>
    <w:p w14:paraId="30748880">
      <w:pPr>
        <w:pStyle w:val="12"/>
        <w:pageBreakBefore w:val="0"/>
        <w:widowControl w:val="0"/>
        <w:kinsoku/>
        <w:wordWrap/>
        <w:overflowPunct/>
        <w:topLinePunct w:val="0"/>
        <w:autoSpaceDE/>
        <w:autoSpaceDN/>
        <w:bidi w:val="0"/>
        <w:adjustRightInd/>
        <w:spacing w:before="0" w:after="0" w:line="34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六、公告期限</w:t>
      </w:r>
      <w:bookmarkEnd w:id="18"/>
      <w:bookmarkEnd w:id="19"/>
      <w:bookmarkEnd w:id="20"/>
      <w:bookmarkEnd w:id="21"/>
    </w:p>
    <w:p w14:paraId="741B049A">
      <w:pPr>
        <w:pageBreakBefore w:val="0"/>
        <w:kinsoku/>
        <w:wordWrap/>
        <w:overflowPunct/>
        <w:topLinePunct w:val="0"/>
        <w:autoSpaceDE/>
        <w:autoSpaceDN/>
        <w:bidi w:val="0"/>
        <w:adjustRightInd/>
        <w:spacing w:line="360" w:lineRule="auto"/>
        <w:ind w:left="0" w:right="0" w:firstLine="420" w:firstLineChars="200"/>
        <w:textAlignment w:val="auto"/>
        <w:rPr>
          <w:rFonts w:hint="eastAsia" w:ascii="宋体" w:hAnsi="宋体" w:eastAsia="宋体" w:cs="宋体"/>
          <w:color w:val="auto"/>
          <w:kern w:val="0"/>
          <w:szCs w:val="21"/>
          <w:highlight w:val="none"/>
        </w:rPr>
      </w:pPr>
      <w:bookmarkStart w:id="27" w:name="_Toc35393804"/>
      <w:bookmarkStart w:id="28" w:name="_Toc35393635"/>
      <w:r>
        <w:rPr>
          <w:rFonts w:hint="eastAsia" w:ascii="宋体" w:hAnsi="宋体" w:eastAsia="宋体" w:cs="宋体"/>
          <w:color w:val="auto"/>
          <w:kern w:val="0"/>
          <w:szCs w:val="21"/>
          <w:highlight w:val="none"/>
        </w:rPr>
        <w:t>自本竞争性磋商公告发布之日起5个工作日。</w:t>
      </w:r>
    </w:p>
    <w:p w14:paraId="2216DBED">
      <w:pPr>
        <w:pStyle w:val="12"/>
        <w:pageBreakBefore w:val="0"/>
        <w:kinsoku/>
        <w:wordWrap/>
        <w:overflowPunct/>
        <w:topLinePunct w:val="0"/>
        <w:autoSpaceDE/>
        <w:autoSpaceDN/>
        <w:bidi w:val="0"/>
        <w:adjustRightInd/>
        <w:spacing w:before="0" w:after="0" w:line="360" w:lineRule="auto"/>
        <w:ind w:left="0" w:right="0" w:firstLine="422" w:firstLineChars="200"/>
        <w:jc w:val="left"/>
        <w:textAlignment w:val="auto"/>
        <w:rPr>
          <w:rFonts w:hint="eastAsia" w:ascii="宋体" w:hAnsi="宋体" w:eastAsia="宋体" w:cs="宋体"/>
          <w:color w:val="auto"/>
          <w:kern w:val="0"/>
          <w:szCs w:val="21"/>
          <w:highlight w:val="none"/>
        </w:rPr>
      </w:pPr>
      <w:bookmarkStart w:id="29" w:name="_Toc5590"/>
      <w:r>
        <w:rPr>
          <w:rFonts w:hint="eastAsia" w:ascii="宋体" w:hAnsi="宋体" w:eastAsia="宋体" w:cs="宋体"/>
          <w:color w:val="auto"/>
          <w:sz w:val="21"/>
          <w:szCs w:val="21"/>
          <w:highlight w:val="none"/>
        </w:rPr>
        <w:t>七、其他补充事宜</w:t>
      </w:r>
      <w:bookmarkEnd w:id="29"/>
    </w:p>
    <w:p w14:paraId="09D8629E">
      <w:pPr>
        <w:pageBreakBefore w:val="0"/>
        <w:widowControl/>
        <w:kinsoku/>
        <w:wordWrap/>
        <w:overflowPunct/>
        <w:topLinePunct w:val="0"/>
        <w:autoSpaceDE/>
        <w:autoSpaceDN/>
        <w:bidi w:val="0"/>
        <w:adjustRightInd/>
        <w:snapToGrid w:val="0"/>
        <w:spacing w:line="360" w:lineRule="auto"/>
        <w:ind w:left="0" w:right="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t>1、</w:t>
      </w:r>
      <w:r>
        <w:rPr>
          <w:rFonts w:hint="eastAsia" w:ascii="宋体" w:hAnsi="宋体" w:eastAsia="宋体" w:cs="宋体"/>
          <w:color w:val="auto"/>
          <w:szCs w:val="21"/>
          <w:highlight w:val="none"/>
        </w:rPr>
        <w:t>集中考察或召开答疑会：无</w:t>
      </w:r>
    </w:p>
    <w:p w14:paraId="1C9BEFFB">
      <w:pPr>
        <w:pageBreakBefore w:val="0"/>
        <w:kinsoku/>
        <w:wordWrap/>
        <w:overflowPunct/>
        <w:topLinePunct w:val="0"/>
        <w:autoSpaceDE/>
        <w:autoSpaceDN/>
        <w:bidi w:val="0"/>
        <w:adjustRightInd/>
        <w:spacing w:line="360" w:lineRule="auto"/>
        <w:ind w:left="0" w:righ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2、本次响应文件制作份数要求：纸质版一式三份(一份正本，两份副本) ，每份响应文件须清楚标明“正本”或“副本”字样，一旦副本与正本不符，以正本为准。</w:t>
      </w:r>
      <w:r>
        <w:rPr>
          <w:rFonts w:hint="eastAsia" w:ascii="宋体" w:hAnsi="宋体" w:eastAsia="宋体" w:cs="宋体"/>
          <w:color w:val="auto"/>
          <w:szCs w:val="21"/>
          <w:highlight w:val="none"/>
          <w:lang w:eastAsia="zh-CN"/>
        </w:rPr>
        <w:t>电子版响应文件一份</w:t>
      </w:r>
      <w:r>
        <w:rPr>
          <w:rFonts w:hint="eastAsia" w:ascii="宋体" w:hAnsi="宋体" w:eastAsia="宋体" w:cs="宋体"/>
          <w:b/>
          <w:bCs/>
          <w:color w:val="auto"/>
          <w:szCs w:val="21"/>
          <w:highlight w:val="none"/>
          <w:lang w:eastAsia="zh-CN"/>
        </w:rPr>
        <w:t>(一般应为pdf格式，U盘形式（单独密封、贴标签注明单位名称）</w:t>
      </w:r>
      <w:r>
        <w:rPr>
          <w:rFonts w:hint="eastAsia" w:ascii="宋体" w:hAnsi="宋体" w:eastAsia="宋体" w:cs="宋体"/>
          <w:color w:val="auto"/>
          <w:szCs w:val="21"/>
          <w:highlight w:val="none"/>
          <w:lang w:eastAsia="zh-CN"/>
        </w:rPr>
        <w:t>、随纸质正本文件一并提交)</w:t>
      </w:r>
      <w:r>
        <w:rPr>
          <w:rFonts w:hint="eastAsia" w:ascii="宋体" w:hAnsi="宋体" w:eastAsia="宋体" w:cs="宋体"/>
          <w:color w:val="auto"/>
          <w:szCs w:val="21"/>
          <w:highlight w:val="none"/>
        </w:rPr>
        <w:t>。当电子版响应文件和纸质正本响应文件不一致时，以纸质正本响应文件为准。电子版文件用于辅助评标和存档，供应商需承担前述不一致造成的不利后果。</w:t>
      </w:r>
    </w:p>
    <w:p w14:paraId="5FDFBB53">
      <w:pPr>
        <w:pageBreakBefore w:val="0"/>
        <w:kinsoku/>
        <w:wordWrap/>
        <w:overflowPunct/>
        <w:topLinePunct w:val="0"/>
        <w:autoSpaceDE/>
        <w:autoSpaceDN/>
        <w:bidi w:val="0"/>
        <w:adjustRightInd/>
        <w:spacing w:line="360" w:lineRule="auto"/>
        <w:ind w:left="0" w:right="0" w:firstLine="420" w:firstLineChars="200"/>
        <w:textAlignment w:val="auto"/>
        <w:rPr>
          <w:rFonts w:hint="eastAsia" w:ascii="宋体" w:hAnsi="宋体" w:eastAsia="宋体" w:cs="宋体"/>
          <w:color w:val="auto"/>
          <w:szCs w:val="21"/>
          <w:highlight w:val="none"/>
          <w:lang w:eastAsia="zh-CN"/>
        </w:rPr>
      </w:pPr>
      <w:bookmarkStart w:id="30" w:name="_Toc35393796"/>
      <w:bookmarkEnd w:id="30"/>
      <w:bookmarkStart w:id="31" w:name="_Toc35393627"/>
      <w:bookmarkEnd w:id="31"/>
      <w:bookmarkStart w:id="32" w:name="_Toc28359085"/>
      <w:bookmarkEnd w:id="32"/>
      <w:r>
        <w:rPr>
          <w:rFonts w:hint="eastAsia" w:ascii="宋体" w:hAnsi="宋体" w:eastAsia="宋体" w:cs="宋体"/>
          <w:color w:val="auto"/>
          <w:szCs w:val="21"/>
          <w:highlight w:val="none"/>
        </w:rPr>
        <w:t>3、本项目免收磋商保证金</w:t>
      </w:r>
      <w:r>
        <w:rPr>
          <w:rFonts w:hint="eastAsia" w:ascii="宋体" w:hAnsi="宋体" w:cs="宋体"/>
          <w:color w:val="auto"/>
          <w:szCs w:val="21"/>
          <w:highlight w:val="none"/>
          <w:lang w:eastAsia="zh-CN"/>
        </w:rPr>
        <w:t>。</w:t>
      </w:r>
    </w:p>
    <w:p w14:paraId="3C6226A2">
      <w:pPr>
        <w:pageBreakBefore w:val="0"/>
        <w:kinsoku/>
        <w:wordWrap/>
        <w:overflowPunct/>
        <w:topLinePunct w:val="0"/>
        <w:autoSpaceDE/>
        <w:autoSpaceDN/>
        <w:bidi w:val="0"/>
        <w:adjustRightInd/>
        <w:spacing w:line="360" w:lineRule="auto"/>
        <w:ind w:left="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4、</w:t>
      </w:r>
      <w:r>
        <w:rPr>
          <w:rFonts w:hint="eastAsia" w:ascii="宋体" w:hAnsi="宋体" w:eastAsia="宋体" w:cs="宋体"/>
          <w:i/>
          <w:color w:val="auto"/>
          <w:szCs w:val="21"/>
          <w:highlight w:val="none"/>
          <w:u w:val="single"/>
        </w:rPr>
        <w:t>本磋商文件中斜体下划线部分为实质性响应条件，为必须遵守的条件，如不满足将作无效响应文件处理。</w:t>
      </w:r>
    </w:p>
    <w:bookmarkEnd w:id="27"/>
    <w:bookmarkEnd w:id="28"/>
    <w:p w14:paraId="1496E6FB">
      <w:pPr>
        <w:pStyle w:val="12"/>
        <w:pageBreakBefore w:val="0"/>
        <w:widowControl w:val="0"/>
        <w:kinsoku/>
        <w:wordWrap/>
        <w:overflowPunct/>
        <w:topLinePunct w:val="0"/>
        <w:autoSpaceDE/>
        <w:autoSpaceDN/>
        <w:bidi w:val="0"/>
        <w:adjustRightInd/>
        <w:spacing w:before="0" w:after="0" w:line="340" w:lineRule="exact"/>
        <w:ind w:firstLine="422" w:firstLineChars="200"/>
        <w:textAlignment w:val="auto"/>
        <w:rPr>
          <w:rFonts w:hint="eastAsia" w:ascii="宋体" w:hAnsi="宋体" w:eastAsia="宋体" w:cs="宋体"/>
          <w:color w:val="auto"/>
          <w:sz w:val="21"/>
          <w:szCs w:val="21"/>
          <w:highlight w:val="none"/>
        </w:rPr>
      </w:pPr>
      <w:bookmarkStart w:id="33" w:name="_Toc28359018"/>
      <w:bookmarkStart w:id="34" w:name="_Toc35393636"/>
      <w:bookmarkStart w:id="35" w:name="_Toc35393805"/>
      <w:bookmarkStart w:id="36" w:name="_Toc28359095"/>
      <w:r>
        <w:rPr>
          <w:rFonts w:hint="eastAsia" w:ascii="宋体" w:hAnsi="宋体" w:eastAsia="宋体" w:cs="宋体"/>
          <w:color w:val="auto"/>
          <w:sz w:val="21"/>
          <w:szCs w:val="21"/>
          <w:highlight w:val="none"/>
        </w:rPr>
        <w:t>八、凡对本次采购提出询问，请按以下方式联系。</w:t>
      </w:r>
      <w:bookmarkEnd w:id="33"/>
      <w:bookmarkEnd w:id="34"/>
      <w:bookmarkEnd w:id="35"/>
      <w:bookmarkEnd w:id="36"/>
    </w:p>
    <w:p w14:paraId="38CF1D67">
      <w:pPr>
        <w:pageBreakBefore w:val="0"/>
        <w:kinsoku/>
        <w:wordWrap/>
        <w:overflowPunct/>
        <w:topLinePunct w:val="0"/>
        <w:autoSpaceDE/>
        <w:autoSpaceDN/>
        <w:bidi w:val="0"/>
        <w:adjustRightInd/>
        <w:spacing w:line="360" w:lineRule="auto"/>
        <w:ind w:left="0" w:right="0" w:firstLine="420" w:firstLineChars="200"/>
        <w:textAlignment w:val="auto"/>
        <w:rPr>
          <w:rFonts w:hint="eastAsia" w:ascii="宋体" w:hAnsi="宋体" w:eastAsia="宋体" w:cs="宋体"/>
          <w:color w:val="auto"/>
          <w:szCs w:val="21"/>
          <w:highlight w:val="none"/>
        </w:rPr>
      </w:pPr>
      <w:bookmarkStart w:id="37" w:name="_Toc35393637"/>
      <w:bookmarkStart w:id="38" w:name="_Toc28359019"/>
      <w:bookmarkStart w:id="39" w:name="_Toc28359096"/>
      <w:bookmarkStart w:id="40" w:name="_Toc35393806"/>
      <w:r>
        <w:rPr>
          <w:rFonts w:hint="eastAsia" w:ascii="宋体" w:hAnsi="宋体" w:eastAsia="宋体" w:cs="宋体"/>
          <w:color w:val="auto"/>
          <w:szCs w:val="21"/>
          <w:highlight w:val="none"/>
        </w:rPr>
        <w:t>1、采购人信息</w:t>
      </w:r>
      <w:bookmarkEnd w:id="37"/>
      <w:bookmarkEnd w:id="38"/>
      <w:bookmarkEnd w:id="39"/>
      <w:bookmarkEnd w:id="40"/>
    </w:p>
    <w:p w14:paraId="194C7DD9">
      <w:pPr>
        <w:pageBreakBefore w:val="0"/>
        <w:kinsoku/>
        <w:wordWrap/>
        <w:overflowPunct/>
        <w:topLinePunct w:val="0"/>
        <w:autoSpaceDE/>
        <w:autoSpaceDN/>
        <w:bidi w:val="0"/>
        <w:adjustRightInd/>
        <w:spacing w:line="360" w:lineRule="auto"/>
        <w:ind w:left="0" w:right="0" w:firstLine="630" w:firstLineChars="3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称：</w:t>
      </w:r>
      <w:r>
        <w:rPr>
          <w:rFonts w:hint="eastAsia" w:ascii="宋体" w:hAnsi="宋体" w:eastAsia="宋体" w:cs="宋体"/>
          <w:color w:val="auto"/>
          <w:sz w:val="21"/>
          <w:szCs w:val="21"/>
          <w:highlight w:val="none"/>
          <w:lang w:val="en-US" w:eastAsia="zh-CN"/>
        </w:rPr>
        <w:t>扬州锦汇园林绿化工程有限公司</w:t>
      </w:r>
    </w:p>
    <w:p w14:paraId="5006512E">
      <w:pPr>
        <w:pageBreakBefore w:val="0"/>
        <w:kinsoku/>
        <w:wordWrap/>
        <w:overflowPunct/>
        <w:topLinePunct w:val="0"/>
        <w:autoSpaceDE/>
        <w:autoSpaceDN/>
        <w:bidi w:val="0"/>
        <w:adjustRightInd/>
        <w:spacing w:line="360" w:lineRule="auto"/>
        <w:ind w:left="0" w:right="0" w:firstLine="630" w:firstLineChars="3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en-US" w:eastAsia="zh-CN"/>
        </w:rPr>
        <w:t>朱工</w:t>
      </w:r>
    </w:p>
    <w:p w14:paraId="046C0C4E">
      <w:pPr>
        <w:pageBreakBefore w:val="0"/>
        <w:kinsoku/>
        <w:wordWrap/>
        <w:overflowPunct/>
        <w:topLinePunct w:val="0"/>
        <w:autoSpaceDE/>
        <w:autoSpaceDN/>
        <w:bidi w:val="0"/>
        <w:adjustRightInd/>
        <w:spacing w:line="360" w:lineRule="auto"/>
        <w:ind w:left="0" w:right="0" w:firstLine="630" w:firstLineChars="3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联系电话：0514-82120352</w:t>
      </w:r>
    </w:p>
    <w:p w14:paraId="74C8D093">
      <w:pPr>
        <w:pStyle w:val="12"/>
        <w:pageBreakBefore w:val="0"/>
        <w:kinsoku/>
        <w:wordWrap/>
        <w:overflowPunct/>
        <w:topLinePunct w:val="0"/>
        <w:autoSpaceDE/>
        <w:autoSpaceDN/>
        <w:bidi w:val="0"/>
        <w:spacing w:before="0" w:after="0" w:line="360" w:lineRule="auto"/>
        <w:ind w:left="0" w:right="0" w:firstLine="420" w:firstLineChars="200"/>
        <w:jc w:val="both"/>
        <w:textAlignment w:val="auto"/>
        <w:rPr>
          <w:rFonts w:hint="eastAsia" w:ascii="宋体" w:hAnsi="宋体" w:eastAsia="宋体" w:cs="宋体"/>
          <w:b w:val="0"/>
          <w:color w:val="auto"/>
          <w:sz w:val="21"/>
          <w:szCs w:val="21"/>
          <w:highlight w:val="none"/>
        </w:rPr>
      </w:pPr>
      <w:bookmarkStart w:id="41" w:name="_Toc1497"/>
      <w:r>
        <w:rPr>
          <w:rFonts w:hint="eastAsia" w:ascii="宋体" w:hAnsi="宋体" w:eastAsia="宋体" w:cs="宋体"/>
          <w:b w:val="0"/>
          <w:color w:val="auto"/>
          <w:sz w:val="21"/>
          <w:szCs w:val="21"/>
          <w:highlight w:val="none"/>
        </w:rPr>
        <w:t>2、采购代理机构信息</w:t>
      </w:r>
      <w:bookmarkEnd w:id="41"/>
    </w:p>
    <w:p w14:paraId="26CB97CD">
      <w:pPr>
        <w:pageBreakBefore w:val="0"/>
        <w:kinsoku/>
        <w:wordWrap/>
        <w:overflowPunct/>
        <w:topLinePunct w:val="0"/>
        <w:autoSpaceDE/>
        <w:autoSpaceDN/>
        <w:bidi w:val="0"/>
        <w:spacing w:line="360" w:lineRule="auto"/>
        <w:ind w:left="0" w:right="0" w:firstLine="630" w:firstLineChars="3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名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称：江苏汇诚投资咨询管理有限公司</w:t>
      </w:r>
    </w:p>
    <w:p w14:paraId="0C3678D3">
      <w:pPr>
        <w:pageBreakBefore w:val="0"/>
        <w:tabs>
          <w:tab w:val="left" w:pos="642"/>
        </w:tabs>
        <w:kinsoku/>
        <w:wordWrap/>
        <w:overflowPunct/>
        <w:topLinePunct w:val="0"/>
        <w:autoSpaceDE/>
        <w:autoSpaceDN/>
        <w:bidi w:val="0"/>
        <w:spacing w:line="360" w:lineRule="auto"/>
        <w:ind w:left="0" w:right="0" w:firstLine="630" w:firstLineChars="3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地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址：扬州市邗江北路68号旺角三楼</w:t>
      </w:r>
    </w:p>
    <w:p w14:paraId="585E4FF6">
      <w:pPr>
        <w:pageBreakBefore w:val="0"/>
        <w:tabs>
          <w:tab w:val="left" w:pos="642"/>
        </w:tabs>
        <w:kinsoku/>
        <w:wordWrap/>
        <w:overflowPunct/>
        <w:topLinePunct w:val="0"/>
        <w:autoSpaceDE/>
        <w:autoSpaceDN/>
        <w:bidi w:val="0"/>
        <w:spacing w:line="360" w:lineRule="auto"/>
        <w:ind w:left="0" w:right="0" w:firstLine="630" w:firstLineChars="3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联系人：张琴      </w:t>
      </w:r>
    </w:p>
    <w:p w14:paraId="22848D23">
      <w:pPr>
        <w:pageBreakBefore w:val="0"/>
        <w:tabs>
          <w:tab w:val="left" w:pos="642"/>
        </w:tabs>
        <w:kinsoku/>
        <w:wordWrap/>
        <w:overflowPunct/>
        <w:topLinePunct w:val="0"/>
        <w:autoSpaceDE/>
        <w:autoSpaceDN/>
        <w:bidi w:val="0"/>
        <w:spacing w:line="360" w:lineRule="auto"/>
        <w:ind w:left="0" w:right="0" w:firstLine="630" w:firstLineChars="3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联系电话：0514-89787280     17361843750</w:t>
      </w:r>
    </w:p>
    <w:p w14:paraId="4092C5FB">
      <w:pPr>
        <w:pStyle w:val="2"/>
        <w:rPr>
          <w:rFonts w:hint="eastAsia" w:ascii="宋体" w:hAnsi="宋体" w:eastAsia="宋体" w:cs="宋体"/>
          <w:color w:val="auto"/>
          <w:highlight w:val="none"/>
        </w:rPr>
      </w:pPr>
    </w:p>
    <w:p w14:paraId="58868357">
      <w:pPr>
        <w:spacing w:line="370" w:lineRule="exact"/>
        <w:jc w:val="righ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44B218B4">
      <w:pPr>
        <w:jc w:val="center"/>
        <w:rPr>
          <w:rFonts w:hint="eastAsia" w:ascii="宋体" w:hAnsi="宋体" w:eastAsia="宋体" w:cs="宋体"/>
          <w:b/>
          <w:color w:val="auto"/>
          <w:highlight w:val="none"/>
        </w:rPr>
      </w:pPr>
      <w:r>
        <w:rPr>
          <w:rFonts w:hint="eastAsia" w:ascii="宋体" w:hAnsi="宋体" w:eastAsia="宋体" w:cs="宋体"/>
          <w:color w:val="auto"/>
          <w:highlight w:val="none"/>
        </w:rPr>
        <w:br w:type="page"/>
      </w:r>
      <w:r>
        <w:rPr>
          <w:rFonts w:hint="eastAsia" w:ascii="宋体" w:hAnsi="宋体" w:eastAsia="宋体" w:cs="宋体"/>
          <w:b/>
          <w:color w:val="auto"/>
          <w:sz w:val="36"/>
          <w:highlight w:val="none"/>
        </w:rPr>
        <w:t>第二章 磋商须知</w:t>
      </w:r>
      <w:bookmarkEnd w:id="1"/>
    </w:p>
    <w:p w14:paraId="52591239">
      <w:pPr>
        <w:spacing w:line="400" w:lineRule="exact"/>
        <w:jc w:val="center"/>
        <w:rPr>
          <w:rFonts w:hint="eastAsia" w:ascii="宋体" w:hAnsi="宋体" w:eastAsia="宋体" w:cs="宋体"/>
          <w:b/>
          <w:bCs/>
          <w:color w:val="auto"/>
          <w:szCs w:val="21"/>
          <w:highlight w:val="none"/>
        </w:rPr>
      </w:pPr>
      <w:bookmarkStart w:id="42" w:name="_Toc513029204"/>
      <w:bookmarkStart w:id="43" w:name="_Toc458694821"/>
      <w:bookmarkStart w:id="44" w:name="_Toc16938520"/>
      <w:bookmarkStart w:id="45" w:name="_Toc20823276"/>
      <w:r>
        <w:rPr>
          <w:rFonts w:hint="eastAsia" w:ascii="宋体" w:hAnsi="宋体" w:eastAsia="宋体" w:cs="宋体"/>
          <w:bCs/>
          <w:color w:val="auto"/>
          <w:szCs w:val="21"/>
          <w:highlight w:val="none"/>
        </w:rPr>
        <w:t>（参加竞争性磋商的供应商以下简称“磋商供应商”）</w:t>
      </w:r>
      <w:bookmarkEnd w:id="42"/>
      <w:bookmarkEnd w:id="43"/>
      <w:bookmarkEnd w:id="44"/>
      <w:bookmarkEnd w:id="45"/>
    </w:p>
    <w:p w14:paraId="73033F18">
      <w:pPr>
        <w:tabs>
          <w:tab w:val="left" w:pos="900"/>
        </w:tabs>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一、总则</w:t>
      </w:r>
    </w:p>
    <w:p w14:paraId="1D102BBF">
      <w:pPr>
        <w:tabs>
          <w:tab w:val="left" w:pos="900"/>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1、适用范围</w:t>
      </w:r>
    </w:p>
    <w:p w14:paraId="4996F84D">
      <w:pPr>
        <w:tabs>
          <w:tab w:val="left" w:pos="900"/>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本竞争性磋商文件（以下简称磋商文件）仅适用此项目。</w:t>
      </w:r>
    </w:p>
    <w:p w14:paraId="507857E6">
      <w:pPr>
        <w:tabs>
          <w:tab w:val="left" w:pos="900"/>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2、项目采购方式</w:t>
      </w:r>
    </w:p>
    <w:p w14:paraId="2ABD8212">
      <w:pPr>
        <w:tabs>
          <w:tab w:val="left" w:pos="900"/>
        </w:tabs>
        <w:spacing w:line="400" w:lineRule="exact"/>
        <w:ind w:firstLine="735" w:firstLineChars="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本次采购采取竞争性磋商的方式。</w:t>
      </w:r>
    </w:p>
    <w:p w14:paraId="4AB1AEF6">
      <w:pPr>
        <w:tabs>
          <w:tab w:val="left" w:pos="900"/>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3、合格的磋商供应商</w:t>
      </w:r>
    </w:p>
    <w:p w14:paraId="55DD287B">
      <w:pPr>
        <w:tabs>
          <w:tab w:val="left" w:pos="900"/>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3.1满足本磋商文件“竞争性磋商</w:t>
      </w:r>
      <w:r>
        <w:rPr>
          <w:rFonts w:hint="eastAsia" w:ascii="宋体" w:hAnsi="宋体" w:eastAsia="宋体" w:cs="宋体"/>
          <w:color w:val="auto"/>
          <w:szCs w:val="21"/>
          <w:highlight w:val="none"/>
          <w:lang w:val="en-US" w:eastAsia="zh-CN"/>
        </w:rPr>
        <w:t>公告</w:t>
      </w:r>
      <w:r>
        <w:rPr>
          <w:rFonts w:hint="eastAsia" w:ascii="宋体" w:hAnsi="宋体" w:eastAsia="宋体" w:cs="宋体"/>
          <w:color w:val="auto"/>
          <w:szCs w:val="21"/>
          <w:highlight w:val="none"/>
        </w:rPr>
        <w:t>”中合格磋商供应商资格要求的规定。</w:t>
      </w:r>
    </w:p>
    <w:p w14:paraId="0FAA2C53">
      <w:pPr>
        <w:tabs>
          <w:tab w:val="left" w:pos="900"/>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 满足本磋商文件实质性要求和条件的规定。</w:t>
      </w:r>
    </w:p>
    <w:p w14:paraId="3F245DA4">
      <w:pPr>
        <w:tabs>
          <w:tab w:val="left" w:pos="900"/>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4、参加磋商费用</w:t>
      </w:r>
    </w:p>
    <w:p w14:paraId="22316B8F">
      <w:pPr>
        <w:tabs>
          <w:tab w:val="left" w:pos="900"/>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4.1参加磋商供应商应自行承担所有与参加磋商有关的费用。不论最终的成交结果如何，江苏汇诚投资咨询管理有限公司（以下简称代理机构）和采购人在任何情况下均无义务和责任承担这些费用。</w:t>
      </w:r>
    </w:p>
    <w:p w14:paraId="19B63197">
      <w:pPr>
        <w:tabs>
          <w:tab w:val="left" w:pos="900"/>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4.2本次采购由成交人在领取成交通知书前一次性支付专家评审费（专家评审费暂按 500 元/人次计取，按实结算（不提供发票））。专家评审费以现金形式支付，专家评审费不在报价中单列。</w:t>
      </w:r>
    </w:p>
    <w:p w14:paraId="36BE3514">
      <w:pPr>
        <w:tabs>
          <w:tab w:val="left" w:pos="900"/>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5、磋商文件的约束力</w:t>
      </w:r>
    </w:p>
    <w:p w14:paraId="185C7998">
      <w:pPr>
        <w:tabs>
          <w:tab w:val="left" w:pos="900"/>
        </w:tabs>
        <w:spacing w:line="400" w:lineRule="exact"/>
        <w:ind w:left="120" w:leftChars="57"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供应商一旦下载了本磋商文件并决定参加磋商，即被认为接受了本磋商文件的规定和约束，并且视为自竞争性磋商公告期限届满之日起已经知道或应当知道自身权益是否受到了损害。</w:t>
      </w:r>
    </w:p>
    <w:p w14:paraId="4A1736A3">
      <w:pPr>
        <w:tabs>
          <w:tab w:val="left" w:pos="900"/>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bookmarkStart w:id="46" w:name="_Toc462564070"/>
      <w:bookmarkStart w:id="47" w:name="_Toc16938527"/>
      <w:bookmarkStart w:id="48" w:name="_Toc20823283"/>
      <w:bookmarkStart w:id="49" w:name="_Toc513029211"/>
      <w:r>
        <w:rPr>
          <w:rFonts w:hint="eastAsia" w:ascii="宋体" w:hAnsi="宋体" w:eastAsia="宋体" w:cs="宋体"/>
          <w:color w:val="auto"/>
          <w:szCs w:val="21"/>
          <w:highlight w:val="none"/>
        </w:rPr>
        <w:t>磋商文件的</w:t>
      </w:r>
      <w:bookmarkEnd w:id="46"/>
      <w:bookmarkEnd w:id="47"/>
      <w:bookmarkEnd w:id="48"/>
      <w:bookmarkEnd w:id="49"/>
      <w:r>
        <w:rPr>
          <w:rFonts w:hint="eastAsia" w:ascii="宋体" w:hAnsi="宋体" w:eastAsia="宋体" w:cs="宋体"/>
          <w:color w:val="auto"/>
          <w:szCs w:val="21"/>
          <w:highlight w:val="none"/>
        </w:rPr>
        <w:t>询问及修改</w:t>
      </w:r>
    </w:p>
    <w:p w14:paraId="7F2A7C10">
      <w:pPr>
        <w:keepNext w:val="0"/>
        <w:keepLines w:val="0"/>
        <w:pageBreakBefore w:val="0"/>
        <w:widowControl w:val="0"/>
        <w:tabs>
          <w:tab w:val="left" w:pos="900"/>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6.1任何要求</w:t>
      </w:r>
      <w:r>
        <w:rPr>
          <w:rFonts w:hint="eastAsia" w:ascii="宋体" w:hAnsi="宋体" w:eastAsia="宋体" w:cs="宋体"/>
          <w:color w:val="auto"/>
          <w:szCs w:val="21"/>
          <w:highlight w:val="none"/>
        </w:rPr>
        <w:t>对磋商文件进行询问的供应商，均应在提交首次响应文件截止时间5日前按采购公告中的通讯地址，向采购人或代理机构提出。提交首次响应文件截止之日前，代理机构可以对已发出的磋商文件进行必要的澄清或者修改，澄清或者修改的内容作为磋商文件的组成部分。澄清或者修改的内容可能影响响应文件编制的，代理机构将在提交首次响应文件截止时间至少5日前，在“</w:t>
      </w:r>
      <w:r>
        <w:rPr>
          <w:rFonts w:hint="eastAsia" w:ascii="宋体" w:hAnsi="宋体" w:eastAsia="宋体" w:cs="宋体"/>
          <w:color w:val="auto"/>
          <w:szCs w:val="21"/>
          <w:highlight w:val="none"/>
          <w:lang w:eastAsia="zh-CN"/>
        </w:rPr>
        <w:t>扬州市公共资源交易平台邗江分中心国企采购栏目</w:t>
      </w:r>
      <w:r>
        <w:rPr>
          <w:rFonts w:hint="eastAsia" w:ascii="宋体" w:hAnsi="宋体" w:eastAsia="宋体" w:cs="宋体"/>
          <w:color w:val="auto"/>
          <w:szCs w:val="21"/>
          <w:highlight w:val="none"/>
        </w:rPr>
        <w:t>”、“扬州维扬发展投资有限公司网”上发布更正公告通知所有获取磋商文件的供应商。不足5日的，代理机构应当顺延提交首次响应文件截止时间。</w:t>
      </w:r>
    </w:p>
    <w:p w14:paraId="769DAB91">
      <w:pPr>
        <w:tabs>
          <w:tab w:val="left" w:pos="900"/>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6.2代理机构或采购人可以视采购项目的具体情况，组织供应商进行现场考察或召开磋商前答疑会，但不单独或分别组织只有一个供应商参加的现场考察和答疑会。</w:t>
      </w:r>
    </w:p>
    <w:p w14:paraId="63E08CB2">
      <w:pPr>
        <w:tabs>
          <w:tab w:val="left" w:pos="900"/>
        </w:tabs>
        <w:spacing w:line="400" w:lineRule="exact"/>
        <w:ind w:left="120" w:leftChars="57"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7、磋商文件的解释</w:t>
      </w:r>
    </w:p>
    <w:p w14:paraId="0FDF60A5">
      <w:pPr>
        <w:spacing w:line="400" w:lineRule="exact"/>
        <w:ind w:firstLine="525" w:firstLineChars="25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7.1 本磋商文件由代理机构负责解释。</w:t>
      </w:r>
    </w:p>
    <w:p w14:paraId="15E400C0">
      <w:pPr>
        <w:tabs>
          <w:tab w:val="left" w:pos="900"/>
        </w:tabs>
        <w:spacing w:line="400" w:lineRule="exact"/>
        <w:ind w:firstLine="422" w:firstLineChars="200"/>
        <w:rPr>
          <w:rFonts w:hint="eastAsia" w:ascii="宋体" w:hAnsi="宋体" w:eastAsia="宋体" w:cs="宋体"/>
          <w:b/>
          <w:color w:val="auto"/>
          <w:szCs w:val="21"/>
          <w:highlight w:val="none"/>
        </w:rPr>
      </w:pPr>
      <w:bookmarkStart w:id="50" w:name="_Hlt26954830"/>
      <w:bookmarkEnd w:id="50"/>
      <w:bookmarkStart w:id="51" w:name="_Hlt26670348"/>
      <w:bookmarkEnd w:id="51"/>
      <w:bookmarkStart w:id="52" w:name="_Hlt26670345"/>
      <w:bookmarkEnd w:id="52"/>
      <w:bookmarkStart w:id="53" w:name="_Hlt26954832"/>
      <w:bookmarkEnd w:id="53"/>
      <w:bookmarkStart w:id="54" w:name="_Hlt26668969"/>
      <w:bookmarkEnd w:id="54"/>
      <w:bookmarkStart w:id="55" w:name="_Hlt26670354"/>
      <w:bookmarkEnd w:id="55"/>
      <w:bookmarkStart w:id="56" w:name="_Hlt26954828"/>
      <w:bookmarkEnd w:id="56"/>
      <w:bookmarkStart w:id="57" w:name="_Toc513029213"/>
      <w:bookmarkStart w:id="58" w:name="_Toc61149553"/>
      <w:bookmarkStart w:id="59" w:name="_Toc462564072"/>
      <w:bookmarkStart w:id="60" w:name="_Toc14577351"/>
      <w:r>
        <w:rPr>
          <w:rFonts w:hint="eastAsia" w:ascii="宋体" w:hAnsi="宋体" w:eastAsia="宋体" w:cs="宋体"/>
          <w:b/>
          <w:color w:val="auto"/>
          <w:szCs w:val="21"/>
          <w:highlight w:val="none"/>
        </w:rPr>
        <w:t xml:space="preserve"> 二、磋商响应文件的编制</w:t>
      </w:r>
      <w:bookmarkEnd w:id="57"/>
      <w:bookmarkEnd w:id="58"/>
      <w:bookmarkEnd w:id="59"/>
      <w:bookmarkEnd w:id="60"/>
      <w:r>
        <w:rPr>
          <w:rFonts w:hint="eastAsia" w:ascii="宋体" w:hAnsi="宋体" w:eastAsia="宋体" w:cs="宋体"/>
          <w:b/>
          <w:color w:val="auto"/>
          <w:szCs w:val="21"/>
          <w:highlight w:val="none"/>
        </w:rPr>
        <w:t>及保证金收取</w:t>
      </w:r>
    </w:p>
    <w:p w14:paraId="5075A9D1">
      <w:pPr>
        <w:tabs>
          <w:tab w:val="left" w:pos="900"/>
        </w:tabs>
        <w:spacing w:line="400" w:lineRule="exact"/>
        <w:ind w:firstLine="420" w:firstLineChars="200"/>
        <w:rPr>
          <w:rFonts w:hint="eastAsia" w:ascii="宋体" w:hAnsi="宋体" w:eastAsia="宋体" w:cs="宋体"/>
          <w:color w:val="auto"/>
          <w:szCs w:val="21"/>
          <w:highlight w:val="none"/>
        </w:rPr>
      </w:pPr>
      <w:bookmarkStart w:id="61" w:name="_Toc14577361"/>
      <w:bookmarkStart w:id="62" w:name="_Toc513029223"/>
      <w:bookmarkStart w:id="63" w:name="_Toc61149561"/>
      <w:r>
        <w:rPr>
          <w:rFonts w:hint="eastAsia" w:ascii="宋体" w:hAnsi="宋体" w:eastAsia="宋体" w:cs="宋体"/>
          <w:color w:val="auto"/>
          <w:szCs w:val="21"/>
          <w:highlight w:val="none"/>
        </w:rPr>
        <w:t>1、磋商响应文件份数和签署</w:t>
      </w:r>
      <w:bookmarkEnd w:id="61"/>
      <w:bookmarkEnd w:id="62"/>
      <w:bookmarkEnd w:id="63"/>
    </w:p>
    <w:p w14:paraId="79D6343E">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1.1磋商供应商应严格按照竞争性磋商公告要求准备响应文件（以下简称响应文件），每份响应文件须清楚标明“正本”或“副本”字样，一旦副本与正本不符，以正本为准。</w:t>
      </w:r>
      <w:r>
        <w:rPr>
          <w:rFonts w:hint="eastAsia" w:ascii="宋体" w:hAnsi="宋体" w:eastAsia="宋体" w:cs="宋体"/>
          <w:color w:val="auto"/>
          <w:szCs w:val="21"/>
          <w:highlight w:val="none"/>
          <w:lang w:eastAsia="zh-CN"/>
        </w:rPr>
        <w:t>电子版响应文件一份(一般应为pdf格式，U盘形式（单独密封、贴标签注明单位名称）、随纸质正本文件一并提交)</w:t>
      </w:r>
      <w:r>
        <w:rPr>
          <w:rFonts w:hint="eastAsia" w:ascii="宋体" w:hAnsi="宋体" w:eastAsia="宋体" w:cs="宋体"/>
          <w:color w:val="auto"/>
          <w:szCs w:val="21"/>
          <w:highlight w:val="none"/>
        </w:rPr>
        <w:t>。当电子版响应文件和纸质正本响应文件不一致时，以纸质正本响应文件为准。电子版文件用于辅助评标和存档，供应商需承担前述不一致造成的不利后果。</w:t>
      </w:r>
    </w:p>
    <w:p w14:paraId="5AE35786">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14:paraId="627FAE32">
      <w:pPr>
        <w:tabs>
          <w:tab w:val="left" w:pos="900"/>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 除磋商供应商对错处做必要修改外，响应文件不得行间插字、涂改或增删。如有修改错漏处，必须由响应文件签署人签字或盖章。</w:t>
      </w:r>
    </w:p>
    <w:p w14:paraId="4031CA61">
      <w:pPr>
        <w:tabs>
          <w:tab w:val="left" w:pos="900"/>
        </w:tabs>
        <w:spacing w:line="400" w:lineRule="exact"/>
        <w:ind w:firstLine="420" w:firstLineChars="200"/>
        <w:rPr>
          <w:rFonts w:hint="eastAsia" w:ascii="宋体" w:hAnsi="宋体" w:eastAsia="宋体" w:cs="宋体"/>
          <w:color w:val="auto"/>
          <w:szCs w:val="21"/>
          <w:highlight w:val="none"/>
        </w:rPr>
      </w:pPr>
      <w:bookmarkStart w:id="64" w:name="_Hlt26954834"/>
      <w:bookmarkEnd w:id="64"/>
      <w:bookmarkStart w:id="65" w:name="_Toc513029215"/>
      <w:bookmarkStart w:id="66" w:name="_Toc14577353"/>
      <w:bookmarkStart w:id="67" w:name="_Toc462564074"/>
      <w:bookmarkStart w:id="68" w:name="_Toc61149555"/>
      <w:bookmarkStart w:id="69" w:name="_Toc462564073"/>
      <w:bookmarkStart w:id="70" w:name="_Toc14577352"/>
      <w:bookmarkStart w:id="71" w:name="_Toc61149554"/>
      <w:bookmarkStart w:id="72" w:name="_Toc513029214"/>
      <w:r>
        <w:rPr>
          <w:rFonts w:hint="eastAsia" w:ascii="宋体" w:hAnsi="宋体" w:eastAsia="宋体" w:cs="宋体"/>
          <w:color w:val="auto"/>
          <w:szCs w:val="21"/>
          <w:highlight w:val="none"/>
        </w:rPr>
        <w:t>2、响应文件</w:t>
      </w:r>
      <w:bookmarkEnd w:id="65"/>
      <w:bookmarkEnd w:id="66"/>
      <w:bookmarkEnd w:id="67"/>
      <w:bookmarkEnd w:id="68"/>
      <w:r>
        <w:rPr>
          <w:rFonts w:hint="eastAsia" w:ascii="宋体" w:hAnsi="宋体" w:eastAsia="宋体" w:cs="宋体"/>
          <w:color w:val="auto"/>
          <w:szCs w:val="21"/>
          <w:highlight w:val="none"/>
        </w:rPr>
        <w:t>编制要求</w:t>
      </w:r>
      <w:bookmarkEnd w:id="69"/>
      <w:bookmarkEnd w:id="70"/>
      <w:bookmarkEnd w:id="71"/>
      <w:bookmarkEnd w:id="72"/>
    </w:p>
    <w:p w14:paraId="310A7CFB">
      <w:pPr>
        <w:tabs>
          <w:tab w:val="left" w:pos="900"/>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2.1磋商供应商提交的响应文件以及磋商供应商与代理机构及采购人就有关磋商的所有来往函电均应使用简体中文。磋商文件中既有中文也有外文的，以中文意义为准。</w:t>
      </w:r>
    </w:p>
    <w:p w14:paraId="23A08DEA">
      <w:pPr>
        <w:tabs>
          <w:tab w:val="left" w:pos="900"/>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 除技术性能另有规定外，响应文件所使用的度量衡单位，均须采用国家法定计量单位。</w:t>
      </w:r>
    </w:p>
    <w:p w14:paraId="64AF82AB">
      <w:pPr>
        <w:tabs>
          <w:tab w:val="left" w:pos="900"/>
        </w:tabs>
        <w:spacing w:line="400" w:lineRule="exact"/>
        <w:ind w:firstLine="420" w:firstLineChars="200"/>
        <w:rPr>
          <w:rFonts w:hint="eastAsia" w:ascii="宋体" w:hAnsi="宋体" w:eastAsia="宋体" w:cs="宋体"/>
          <w:color w:val="auto"/>
          <w:szCs w:val="21"/>
          <w:highlight w:val="none"/>
        </w:rPr>
      </w:pPr>
      <w:bookmarkStart w:id="73" w:name="_Hlt26670357"/>
      <w:bookmarkEnd w:id="73"/>
      <w:bookmarkStart w:id="74" w:name="_Hlt26954836"/>
      <w:bookmarkEnd w:id="74"/>
      <w:bookmarkStart w:id="75" w:name="_Toc14577357"/>
      <w:bookmarkStart w:id="76" w:name="_Toc61149558"/>
      <w:bookmarkStart w:id="77" w:name="_Toc513029219"/>
      <w:bookmarkStart w:id="78" w:name="_Toc14577355"/>
      <w:bookmarkStart w:id="79" w:name="_Toc513029217"/>
      <w:bookmarkStart w:id="80" w:name="_Toc61149557"/>
      <w:r>
        <w:rPr>
          <w:rFonts w:hint="eastAsia" w:ascii="宋体" w:hAnsi="宋体" w:eastAsia="宋体" w:cs="宋体"/>
          <w:color w:val="auto"/>
          <w:szCs w:val="21"/>
          <w:highlight w:val="none"/>
        </w:rPr>
        <w:t>3、参加磋商供应商资格的文件</w:t>
      </w:r>
      <w:bookmarkEnd w:id="75"/>
      <w:bookmarkEnd w:id="76"/>
      <w:bookmarkEnd w:id="77"/>
      <w:r>
        <w:rPr>
          <w:rFonts w:hint="eastAsia" w:ascii="宋体" w:hAnsi="宋体" w:eastAsia="宋体" w:cs="宋体"/>
          <w:color w:val="auto"/>
          <w:szCs w:val="21"/>
          <w:highlight w:val="none"/>
        </w:rPr>
        <w:t>证明</w:t>
      </w:r>
    </w:p>
    <w:p w14:paraId="3F493BE5">
      <w:pPr>
        <w:tabs>
          <w:tab w:val="left" w:pos="900"/>
        </w:tabs>
        <w:spacing w:line="400" w:lineRule="exact"/>
        <w:ind w:firstLine="420" w:firstLineChars="200"/>
        <w:rPr>
          <w:rFonts w:hint="eastAsia" w:ascii="宋体" w:hAnsi="宋体" w:eastAsia="宋体" w:cs="宋体"/>
          <w:color w:val="auto"/>
          <w:szCs w:val="21"/>
          <w:highlight w:val="none"/>
        </w:rPr>
      </w:pPr>
      <w:bookmarkStart w:id="81" w:name="_Hlt26668999"/>
      <w:bookmarkEnd w:id="81"/>
      <w:r>
        <w:rPr>
          <w:rFonts w:hint="eastAsia" w:ascii="宋体" w:hAnsi="宋体" w:eastAsia="宋体" w:cs="宋体"/>
          <w:color w:val="auto"/>
          <w:szCs w:val="21"/>
          <w:highlight w:val="none"/>
        </w:rPr>
        <w:t>3.1磋商供应商应提交证明其有资格参加磋商和成交后有能力独立履行合同的文件，并作为其响应文件的一部分。</w:t>
      </w:r>
    </w:p>
    <w:p w14:paraId="127AEFD1">
      <w:pPr>
        <w:tabs>
          <w:tab w:val="left" w:pos="900"/>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3.2磋商供应商除必须具有履行合同所需提供的设备以及服务的能力外，还必须具备相应的财务、技术方面的能力。</w:t>
      </w:r>
    </w:p>
    <w:p w14:paraId="47EE4BA7">
      <w:pPr>
        <w:tabs>
          <w:tab w:val="left" w:pos="900"/>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3.3磋商供应商应填写并提交磋商文件所附的“资格证明文件”。</w:t>
      </w:r>
    </w:p>
    <w:p w14:paraId="0223F02C">
      <w:pPr>
        <w:tabs>
          <w:tab w:val="left" w:pos="900"/>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4、磋商响应报价</w:t>
      </w:r>
      <w:bookmarkEnd w:id="78"/>
      <w:bookmarkEnd w:id="79"/>
      <w:bookmarkStart w:id="82" w:name="_Hlt26670373"/>
      <w:bookmarkEnd w:id="82"/>
      <w:r>
        <w:rPr>
          <w:rFonts w:hint="eastAsia" w:ascii="宋体" w:hAnsi="宋体" w:eastAsia="宋体" w:cs="宋体"/>
          <w:color w:val="auto"/>
          <w:szCs w:val="21"/>
          <w:highlight w:val="none"/>
        </w:rPr>
        <w:t>表</w:t>
      </w:r>
      <w:bookmarkEnd w:id="80"/>
    </w:p>
    <w:p w14:paraId="3D466862">
      <w:pPr>
        <w:tabs>
          <w:tab w:val="left" w:pos="900"/>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4.1磋商供应商应按照磋商文件规定格式填报磋商响应报价表（含分项报价）。每项产品或服务只允许有一个报价，任何有选择的报价将不予接受，磋商文件中另有规定的按规定执行。</w:t>
      </w:r>
    </w:p>
    <w:p w14:paraId="0BD7F358">
      <w:pPr>
        <w:tabs>
          <w:tab w:val="left" w:pos="900"/>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4.2标的物</w:t>
      </w:r>
    </w:p>
    <w:p w14:paraId="6CA2BE51">
      <w:pPr>
        <w:tabs>
          <w:tab w:val="left" w:pos="900"/>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详见项目需求。</w:t>
      </w:r>
    </w:p>
    <w:p w14:paraId="3A5D5238">
      <w:pPr>
        <w:tabs>
          <w:tab w:val="left" w:pos="900"/>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4.3有关费用处理</w:t>
      </w:r>
    </w:p>
    <w:p w14:paraId="7578DAE2">
      <w:pPr>
        <w:tabs>
          <w:tab w:val="left" w:pos="900"/>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本次采购磋商供应商的总报价应包括为完成本项目发生的所有费用，本磋商文件中另有规定的除外。</w:t>
      </w:r>
    </w:p>
    <w:p w14:paraId="6C424006">
      <w:pPr>
        <w:tabs>
          <w:tab w:val="left" w:pos="900"/>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4.4其它费用处理</w:t>
      </w:r>
    </w:p>
    <w:p w14:paraId="64A84042">
      <w:pPr>
        <w:tabs>
          <w:tab w:val="left" w:pos="900"/>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磋商文件未列明，而磋商供应商认为必须的费用也须列入报价。</w:t>
      </w:r>
    </w:p>
    <w:p w14:paraId="1CD3EFB4">
      <w:pPr>
        <w:tabs>
          <w:tab w:val="left" w:pos="900"/>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4.5报价采用的货币</w:t>
      </w:r>
    </w:p>
    <w:p w14:paraId="36AD62C4">
      <w:pPr>
        <w:tabs>
          <w:tab w:val="left" w:pos="900"/>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响应文件中的单价和总价，无特殊规定的采用人民币报价，以元为单位标注。磋商文件中另有规定的按规定执行。</w:t>
      </w:r>
    </w:p>
    <w:p w14:paraId="57A6E414">
      <w:pPr>
        <w:tabs>
          <w:tab w:val="left" w:pos="900"/>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4.6 磋商响应报价表上的价格应按磋商文件规定填写。</w:t>
      </w:r>
    </w:p>
    <w:p w14:paraId="1B850E9F">
      <w:pPr>
        <w:tabs>
          <w:tab w:val="left" w:pos="900"/>
        </w:tabs>
        <w:spacing w:line="400" w:lineRule="exact"/>
        <w:ind w:firstLine="420" w:firstLineChars="200"/>
        <w:rPr>
          <w:rFonts w:hint="eastAsia" w:ascii="宋体" w:hAnsi="宋体" w:eastAsia="宋体" w:cs="宋体"/>
          <w:color w:val="auto"/>
          <w:szCs w:val="21"/>
          <w:highlight w:val="none"/>
        </w:rPr>
      </w:pPr>
      <w:bookmarkStart w:id="83" w:name="_Hlt26670482"/>
      <w:bookmarkEnd w:id="83"/>
      <w:bookmarkStart w:id="84" w:name="_Hlt26954846"/>
      <w:bookmarkEnd w:id="84"/>
      <w:bookmarkStart w:id="85" w:name="_Hlt26954842"/>
      <w:bookmarkEnd w:id="85"/>
      <w:bookmarkStart w:id="86" w:name="_Hlt26668983"/>
      <w:bookmarkEnd w:id="86"/>
      <w:bookmarkStart w:id="87" w:name="_Hlt26954844"/>
      <w:bookmarkEnd w:id="87"/>
      <w:bookmarkStart w:id="88" w:name="_Hlt26954731"/>
      <w:bookmarkEnd w:id="88"/>
      <w:bookmarkStart w:id="89" w:name="_Hlt26670403"/>
      <w:bookmarkEnd w:id="89"/>
      <w:bookmarkStart w:id="90" w:name="_Hlt26670486"/>
      <w:bookmarkEnd w:id="90"/>
      <w:bookmarkStart w:id="91" w:name="_Hlt26954848"/>
      <w:bookmarkEnd w:id="91"/>
      <w:bookmarkStart w:id="92" w:name="_Hlt26670425"/>
      <w:bookmarkEnd w:id="92"/>
      <w:bookmarkStart w:id="93" w:name="_Toc14577359"/>
      <w:bookmarkStart w:id="94" w:name="_Toc61149559"/>
      <w:bookmarkStart w:id="95" w:name="_Toc513029221"/>
      <w:r>
        <w:rPr>
          <w:rFonts w:hint="eastAsia" w:ascii="宋体" w:hAnsi="宋体" w:eastAsia="宋体" w:cs="宋体"/>
          <w:color w:val="auto"/>
          <w:szCs w:val="21"/>
          <w:highlight w:val="none"/>
        </w:rPr>
        <w:t>5、项目需求响应方案</w:t>
      </w:r>
    </w:p>
    <w:p w14:paraId="4E883ED0">
      <w:pPr>
        <w:tabs>
          <w:tab w:val="left" w:pos="900"/>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5.1提供为完成本项目的总体实施方案。</w:t>
      </w:r>
    </w:p>
    <w:p w14:paraId="4A255695">
      <w:pPr>
        <w:tabs>
          <w:tab w:val="left" w:pos="900"/>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5.2对磋商文件中项目需求的技术与商务条款要求逐项作出应答，并提供依据或说明。</w:t>
      </w:r>
    </w:p>
    <w:p w14:paraId="519B1433">
      <w:pPr>
        <w:tabs>
          <w:tab w:val="left" w:pos="900"/>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5.3磋商供应商认为需要的其他技术文件或说明。</w:t>
      </w:r>
    </w:p>
    <w:bookmarkEnd w:id="93"/>
    <w:bookmarkEnd w:id="94"/>
    <w:bookmarkEnd w:id="95"/>
    <w:p w14:paraId="716D7B87">
      <w:pPr>
        <w:tabs>
          <w:tab w:val="left" w:pos="900"/>
        </w:tabs>
        <w:spacing w:line="400" w:lineRule="exact"/>
        <w:ind w:firstLine="422" w:firstLineChars="200"/>
        <w:rPr>
          <w:rFonts w:hint="eastAsia" w:ascii="宋体" w:hAnsi="宋体" w:eastAsia="宋体" w:cs="宋体"/>
          <w:b/>
          <w:color w:val="auto"/>
          <w:szCs w:val="21"/>
          <w:highlight w:val="none"/>
        </w:rPr>
      </w:pPr>
      <w:bookmarkStart w:id="96" w:name="_Toc513029224"/>
      <w:bookmarkStart w:id="97" w:name="_Toc14577362"/>
      <w:bookmarkStart w:id="98" w:name="_Toc61149562"/>
      <w:r>
        <w:rPr>
          <w:rFonts w:hint="eastAsia" w:ascii="宋体" w:hAnsi="宋体" w:eastAsia="宋体" w:cs="宋体"/>
          <w:b/>
          <w:color w:val="auto"/>
          <w:szCs w:val="21"/>
          <w:highlight w:val="none"/>
        </w:rPr>
        <w:t>三、响应文件的递交</w:t>
      </w:r>
      <w:bookmarkEnd w:id="96"/>
      <w:bookmarkEnd w:id="97"/>
      <w:bookmarkEnd w:id="98"/>
    </w:p>
    <w:p w14:paraId="0693BE48">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bookmarkStart w:id="99" w:name="_Hlt26954864"/>
      <w:bookmarkEnd w:id="99"/>
      <w:bookmarkStart w:id="100" w:name="_Hlt26954856"/>
      <w:bookmarkEnd w:id="100"/>
      <w:bookmarkStart w:id="101" w:name="_Hlt26670523"/>
      <w:bookmarkEnd w:id="101"/>
      <w:bookmarkStart w:id="102" w:name="_Toc462564084"/>
      <w:bookmarkStart w:id="103" w:name="_Toc513029225"/>
      <w:bookmarkStart w:id="104" w:name="_Toc61149563"/>
      <w:bookmarkStart w:id="105" w:name="_Toc14577363"/>
      <w:r>
        <w:rPr>
          <w:rFonts w:hint="eastAsia" w:ascii="宋体" w:hAnsi="宋体" w:eastAsia="宋体" w:cs="宋体"/>
          <w:color w:val="auto"/>
          <w:szCs w:val="21"/>
          <w:highlight w:val="none"/>
        </w:rPr>
        <w:t>1、响应文件</w:t>
      </w:r>
      <w:bookmarkStart w:id="106" w:name="_Hlt26954743"/>
      <w:bookmarkEnd w:id="106"/>
      <w:r>
        <w:rPr>
          <w:rFonts w:hint="eastAsia" w:ascii="宋体" w:hAnsi="宋体" w:eastAsia="宋体" w:cs="宋体"/>
          <w:color w:val="auto"/>
          <w:szCs w:val="21"/>
          <w:highlight w:val="none"/>
        </w:rPr>
        <w:t>的密封和标记</w:t>
      </w:r>
      <w:bookmarkEnd w:id="102"/>
      <w:bookmarkEnd w:id="103"/>
      <w:bookmarkEnd w:id="104"/>
      <w:bookmarkEnd w:id="105"/>
    </w:p>
    <w:p w14:paraId="58BF2539">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1.1磋商供应商应严格按照竞争性磋商公告要求的份数准备响应文件，每份响应文件须清楚地标明“正本”或“副本”字样。一旦正本和副本不符，以正本为准。磋商供应商应将响应文件正本和所有副本密封。</w:t>
      </w:r>
    </w:p>
    <w:p w14:paraId="7EF26687">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1.2密封的响应文件应：</w:t>
      </w:r>
    </w:p>
    <w:p w14:paraId="68010D8C">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（1）按磋商公告中注明的地址送达规定地点；</w:t>
      </w:r>
    </w:p>
    <w:p w14:paraId="18D7A1AB">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（2）注明参加磋商项目名称、项目编号及参加的分包号（如有）；</w:t>
      </w:r>
    </w:p>
    <w:p w14:paraId="2AB9B87C">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（3）密封包装上应写明磋商供应商名称和地址。</w:t>
      </w:r>
    </w:p>
    <w:p w14:paraId="55B0B9E4">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1.3如果密封包装未按要求密封和加写标记，代理机构对误投或过早启封概不负责。对由此造成提前开封的响应文件，代理机构将予以拒绝，作无效响应处理。</w:t>
      </w:r>
    </w:p>
    <w:p w14:paraId="5D8DFE31">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bookmarkStart w:id="107" w:name="_Hlt26954858"/>
      <w:bookmarkEnd w:id="107"/>
      <w:bookmarkStart w:id="108" w:name="_Hlt26954752"/>
      <w:bookmarkEnd w:id="108"/>
      <w:bookmarkStart w:id="109" w:name="_Hlt26670496"/>
      <w:bookmarkEnd w:id="109"/>
      <w:bookmarkStart w:id="110" w:name="_Toc61149564"/>
      <w:bookmarkStart w:id="111" w:name="_Toc14577364"/>
      <w:bookmarkStart w:id="112" w:name="_Toc513029226"/>
      <w:r>
        <w:rPr>
          <w:rFonts w:hint="eastAsia" w:ascii="宋体" w:hAnsi="宋体" w:eastAsia="宋体" w:cs="宋体"/>
          <w:color w:val="auto"/>
          <w:szCs w:val="21"/>
          <w:highlight w:val="none"/>
        </w:rPr>
        <w:t>2、</w:t>
      </w:r>
      <w:bookmarkEnd w:id="110"/>
      <w:bookmarkEnd w:id="111"/>
      <w:bookmarkEnd w:id="112"/>
      <w:r>
        <w:rPr>
          <w:rFonts w:hint="eastAsia" w:ascii="宋体" w:hAnsi="宋体" w:eastAsia="宋体" w:cs="宋体"/>
          <w:color w:val="auto"/>
          <w:szCs w:val="21"/>
          <w:highlight w:val="none"/>
        </w:rPr>
        <w:t>响应文件开启时间</w:t>
      </w:r>
    </w:p>
    <w:p w14:paraId="5BB49ADF">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2.1代理机构收到响应文件的时间不得迟于本磋商文件规定的响应文件接收截止时间。</w:t>
      </w:r>
    </w:p>
    <w:p w14:paraId="7B45EF5F">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2.2代理机构有权通过修改磋商文件推迟响应文件接收截止时间，在此情况下，磋商供应商的所有权利和义务以及受制的响应文件接收截止时间均应以延长后新的响应文件接收截止时间为准。</w:t>
      </w:r>
    </w:p>
    <w:p w14:paraId="6A9DB019">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bookmarkStart w:id="113" w:name="_Hlt26954860"/>
      <w:bookmarkEnd w:id="113"/>
      <w:bookmarkStart w:id="114" w:name="_Toc513029227"/>
      <w:bookmarkStart w:id="115" w:name="_Toc14577365"/>
      <w:bookmarkStart w:id="116" w:name="_Toc61149565"/>
      <w:r>
        <w:rPr>
          <w:rFonts w:hint="eastAsia" w:ascii="宋体" w:hAnsi="宋体" w:eastAsia="宋体" w:cs="宋体"/>
          <w:color w:val="auto"/>
          <w:szCs w:val="21"/>
          <w:highlight w:val="none"/>
        </w:rPr>
        <w:t>3、迟交的响应文件</w:t>
      </w:r>
      <w:bookmarkEnd w:id="114"/>
      <w:bookmarkEnd w:id="115"/>
      <w:bookmarkEnd w:id="116"/>
    </w:p>
    <w:p w14:paraId="13A817C1">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3.1代理机构将拒绝在规定的响应文件接收截止时间后接收任何响应文件。</w:t>
      </w:r>
    </w:p>
    <w:p w14:paraId="7698B543">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bookmarkStart w:id="117" w:name="_Hlt26954862"/>
      <w:bookmarkEnd w:id="117"/>
      <w:bookmarkStart w:id="118" w:name="_Hlt26954754"/>
      <w:bookmarkEnd w:id="118"/>
      <w:bookmarkStart w:id="119" w:name="_Toc513029228"/>
      <w:bookmarkStart w:id="120" w:name="_Toc14577366"/>
      <w:bookmarkStart w:id="121" w:name="_Toc61149566"/>
      <w:r>
        <w:rPr>
          <w:rFonts w:hint="eastAsia" w:ascii="宋体" w:hAnsi="宋体" w:eastAsia="宋体" w:cs="宋体"/>
          <w:color w:val="auto"/>
          <w:szCs w:val="21"/>
          <w:highlight w:val="none"/>
        </w:rPr>
        <w:t>4、响应文件</w:t>
      </w:r>
      <w:bookmarkStart w:id="122" w:name="_Hlt26670588"/>
      <w:r>
        <w:rPr>
          <w:rFonts w:hint="eastAsia" w:ascii="宋体" w:hAnsi="宋体" w:eastAsia="宋体" w:cs="宋体"/>
          <w:color w:val="auto"/>
          <w:szCs w:val="21"/>
          <w:highlight w:val="none"/>
        </w:rPr>
        <w:t>的修改</w:t>
      </w:r>
      <w:bookmarkEnd w:id="122"/>
      <w:r>
        <w:rPr>
          <w:rFonts w:hint="eastAsia" w:ascii="宋体" w:hAnsi="宋体" w:eastAsia="宋体" w:cs="宋体"/>
          <w:color w:val="auto"/>
          <w:szCs w:val="21"/>
          <w:highlight w:val="none"/>
        </w:rPr>
        <w:t>和撤回</w:t>
      </w:r>
      <w:bookmarkEnd w:id="119"/>
      <w:bookmarkEnd w:id="120"/>
      <w:bookmarkEnd w:id="121"/>
    </w:p>
    <w:p w14:paraId="6F78883B">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4.1磋商供应商在递交响应文件后，可以修改或撤回其磋商响应文件，但这种修改和撤回，必须在规定的响应文件接收截止时间前，以书面形式送达指定地点。</w:t>
      </w:r>
    </w:p>
    <w:p w14:paraId="717E3B4C">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4.2磋商供应商的修改或撤回通知书，应按本文件规定进行编制、密封、标记和发送，并应在封套上加注“修改”和“撤回”字样。</w:t>
      </w:r>
    </w:p>
    <w:p w14:paraId="57C6C8D7">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4.3 磋商供应商在提交最后报价之前，可以根据磋商情况退出磋商。</w:t>
      </w:r>
    </w:p>
    <w:p w14:paraId="7B181495">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5、磋商响应有效期</w:t>
      </w:r>
    </w:p>
    <w:p w14:paraId="3074F225">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 磋商响应有效期为代理机构规定的响应文件接收截止时间后六十（60）天。磋商响应有效期比规定短的将被视为非实质性响应性而予以拒绝。</w:t>
      </w:r>
    </w:p>
    <w:p w14:paraId="4AD73447">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 在特殊情况下，代理机构于原磋商响应有效期满之前，可向磋商供应商提出延长磋商响应有效期的要求。这种要求与答复均应采用书面形式。磋商供应商可以拒绝代理机构的这一要求而放弃磋商响应，同意延长磋商响应有效期的磋商供应商既不能要求也不允许修改其响应文件。受磋商响应有效期约束的所有权利与义务均延长至新的有效期。</w:t>
      </w:r>
    </w:p>
    <w:p w14:paraId="4DC646A2">
      <w:pPr>
        <w:tabs>
          <w:tab w:val="left" w:pos="900"/>
        </w:tabs>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四、磋商与评审</w:t>
      </w:r>
    </w:p>
    <w:p w14:paraId="59F34C2E">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bookmarkStart w:id="123" w:name="_Toc16938546"/>
      <w:bookmarkStart w:id="124" w:name="_Toc20823302"/>
      <w:bookmarkStart w:id="125" w:name="_Toc513029230"/>
      <w:r>
        <w:rPr>
          <w:rFonts w:hint="eastAsia" w:ascii="宋体" w:hAnsi="宋体" w:eastAsia="宋体" w:cs="宋体"/>
          <w:color w:val="auto"/>
          <w:szCs w:val="21"/>
          <w:highlight w:val="none"/>
        </w:rPr>
        <w:t>1、</w:t>
      </w:r>
      <w:bookmarkEnd w:id="123"/>
      <w:bookmarkEnd w:id="124"/>
      <w:bookmarkEnd w:id="125"/>
      <w:r>
        <w:rPr>
          <w:rFonts w:hint="eastAsia" w:ascii="宋体" w:hAnsi="宋体" w:eastAsia="宋体" w:cs="宋体"/>
          <w:color w:val="auto"/>
          <w:szCs w:val="21"/>
          <w:highlight w:val="none"/>
        </w:rPr>
        <w:t>磋商仪式</w:t>
      </w:r>
    </w:p>
    <w:p w14:paraId="1C034766">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1.1代理机构将在磋商公告中规定的时间和地点组织磋商开始仪式，仪式由代理机构主持，磋商供应商应委派携带有效证件的代表准时参加，参加仪式的代表需签名以证明其出席。</w:t>
      </w:r>
    </w:p>
    <w:p w14:paraId="4BB68909">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lang w:eastAsia="zh-CN"/>
        </w:rPr>
      </w:pPr>
      <w:bookmarkStart w:id="126" w:name="_Toc513029231"/>
      <w:bookmarkStart w:id="127" w:name="_Toc16938547"/>
      <w:bookmarkStart w:id="128" w:name="_Toc20823303"/>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eastAsia="zh-CN"/>
        </w:rPr>
        <w:t xml:space="preserve"> </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lang w:eastAsia="zh-CN"/>
        </w:rPr>
        <w:t>不足3家的，不得开标。</w:t>
      </w:r>
    </w:p>
    <w:p w14:paraId="52FC4FDA">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2、磋商小组</w:t>
      </w:r>
    </w:p>
    <w:p w14:paraId="47F3F0B1">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 磋商开始仪式结束后，代理机构将立即组织磋商小组进行评审。</w:t>
      </w:r>
    </w:p>
    <w:p w14:paraId="37F237C3">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 磋商小组由评审专家组成，且人员构成符合有关规定。</w:t>
      </w:r>
    </w:p>
    <w:p w14:paraId="030B7590">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3、磋商评审过程的保密</w:t>
      </w:r>
      <w:bookmarkEnd w:id="126"/>
      <w:bookmarkEnd w:id="127"/>
      <w:bookmarkEnd w:id="128"/>
      <w:r>
        <w:rPr>
          <w:rFonts w:hint="eastAsia" w:ascii="宋体" w:hAnsi="宋体" w:eastAsia="宋体" w:cs="宋体"/>
          <w:color w:val="auto"/>
          <w:szCs w:val="21"/>
          <w:highlight w:val="none"/>
        </w:rPr>
        <w:t>与公正</w:t>
      </w:r>
    </w:p>
    <w:p w14:paraId="0F517F54">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3.1磋商小组、采购人和代理机构工作人员、相关监督人员等与评审工作有关的人员，对评审情况以及在评审过程中获悉的国家秘密、商业秘密负有保密责任。</w:t>
      </w:r>
    </w:p>
    <w:p w14:paraId="240ED98A">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3.2在磋商评审过程中，磋商供应商不得以任何行为影响磋商评审过程，否则其响应文件将被作为无效响应文件。</w:t>
      </w:r>
    </w:p>
    <w:p w14:paraId="5C4CD9FC">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3395B4AB">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bookmarkStart w:id="129" w:name="_Toc513029232"/>
      <w:bookmarkStart w:id="130" w:name="_Toc20823304"/>
      <w:bookmarkStart w:id="131" w:name="_Toc16938548"/>
      <w:r>
        <w:rPr>
          <w:rFonts w:hint="eastAsia" w:ascii="宋体" w:hAnsi="宋体" w:eastAsia="宋体" w:cs="宋体"/>
          <w:color w:val="auto"/>
          <w:szCs w:val="21"/>
          <w:highlight w:val="none"/>
        </w:rPr>
        <w:t>4、评审过程的澄清</w:t>
      </w:r>
      <w:bookmarkEnd w:id="129"/>
      <w:bookmarkEnd w:id="130"/>
      <w:bookmarkEnd w:id="131"/>
      <w:r>
        <w:rPr>
          <w:rFonts w:hint="eastAsia" w:ascii="宋体" w:hAnsi="宋体" w:eastAsia="宋体" w:cs="宋体"/>
          <w:color w:val="auto"/>
          <w:szCs w:val="21"/>
          <w:highlight w:val="none"/>
        </w:rPr>
        <w:t>、说明和更正</w:t>
      </w:r>
    </w:p>
    <w:p w14:paraId="52F44DCE">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DC95FDD">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14:paraId="7027B868">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4.3 接到磋商小组澄清要求的供应商如未按规定做出澄清，其风险由供应商自行承担。</w:t>
      </w:r>
    </w:p>
    <w:p w14:paraId="13D1D714">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bookmarkStart w:id="132" w:name="_Toc20823305"/>
      <w:bookmarkStart w:id="133" w:name="_Toc16938549"/>
      <w:bookmarkStart w:id="134" w:name="_Toc513029233"/>
      <w:r>
        <w:rPr>
          <w:rFonts w:hint="eastAsia" w:ascii="宋体" w:hAnsi="宋体" w:eastAsia="宋体" w:cs="宋体"/>
          <w:color w:val="auto"/>
          <w:szCs w:val="21"/>
          <w:highlight w:val="none"/>
        </w:rPr>
        <w:t>5、对响应文件的初审</w:t>
      </w:r>
      <w:bookmarkEnd w:id="132"/>
      <w:bookmarkEnd w:id="133"/>
      <w:bookmarkEnd w:id="134"/>
    </w:p>
    <w:p w14:paraId="474DF447">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5.1响应文件初审分为资格性检查和符合性检查。</w:t>
      </w:r>
    </w:p>
    <w:p w14:paraId="631020AD">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资格性检查：依据法律法规和磋商文件的规定，对响应文件中的资格证明文件等进行审查，以确定供应商是否具备参加磋商的资格。</w:t>
      </w:r>
    </w:p>
    <w:p w14:paraId="66EA4B75">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符合性检查：依据磋商文件的规定，从响应文件的有效性、完整性和对磋商文件的响应程度进行审查，以确定是否对磋商文件的实质性要求作出响应。</w:t>
      </w:r>
    </w:p>
    <w:p w14:paraId="05F2A832">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5.2在正式磋商之前，磋商小组将首先审查每份响应文件是否实质性响应了磋商文件的要求。实质性响应的响应文件应该是与磋商文件要求的条款、条件和规格相符，没有重大偏离或保留。</w:t>
      </w:r>
    </w:p>
    <w:p w14:paraId="4C213F2C">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磋商小组按照少数服从多数的原则作出结论。磋商小组决定响应文件的响应性只根据响应文件本身的内容，而不寻求外部的证据。</w:t>
      </w:r>
    </w:p>
    <w:p w14:paraId="09E329EA">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被认定为未实质性响应磋商文件的响应文件的情形</w:t>
      </w:r>
    </w:p>
    <w:p w14:paraId="562686A3">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（1）未按照磋商文件规定要求密封、签署、盖章的；</w:t>
      </w:r>
    </w:p>
    <w:p w14:paraId="362DEF52">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（2）供应商在报价时采用选择性报价；</w:t>
      </w:r>
    </w:p>
    <w:p w14:paraId="63B98651">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（3）供应商不具备磋商文件中规定资格要求的；</w:t>
      </w:r>
    </w:p>
    <w:p w14:paraId="62C18338">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（4）不符合</w:t>
      </w:r>
      <w:r>
        <w:rPr>
          <w:rFonts w:hint="eastAsia" w:ascii="宋体" w:hAnsi="宋体" w:eastAsia="宋体" w:cs="宋体"/>
          <w:bCs/>
          <w:color w:val="auto"/>
          <w:szCs w:val="21"/>
          <w:highlight w:val="none"/>
        </w:rPr>
        <w:t>法律、法规和</w:t>
      </w:r>
      <w:r>
        <w:rPr>
          <w:rFonts w:hint="eastAsia" w:ascii="宋体" w:hAnsi="宋体" w:eastAsia="宋体" w:cs="宋体"/>
          <w:color w:val="auto"/>
          <w:szCs w:val="21"/>
          <w:highlight w:val="none"/>
        </w:rPr>
        <w:t>磋商文件中规定的其他实质性要求和条件的（本磋商文件中斜体且有下划线部分为实质性要求和条件）</w:t>
      </w:r>
    </w:p>
    <w:p w14:paraId="05D86756">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）其他</w:t>
      </w:r>
      <w:r>
        <w:rPr>
          <w:rFonts w:hint="eastAsia" w:ascii="宋体" w:hAnsi="宋体" w:eastAsia="宋体" w:cs="宋体"/>
          <w:bCs/>
          <w:color w:val="auto"/>
          <w:szCs w:val="21"/>
          <w:highlight w:val="none"/>
        </w:rPr>
        <w:t>法律、法规和</w:t>
      </w:r>
      <w:r>
        <w:rPr>
          <w:rFonts w:hint="eastAsia" w:ascii="宋体" w:hAnsi="宋体" w:eastAsia="宋体" w:cs="宋体"/>
          <w:color w:val="auto"/>
          <w:szCs w:val="21"/>
          <w:highlight w:val="none"/>
        </w:rPr>
        <w:t>磋商文件规定的属未实质性响应的响应文件的情形。</w:t>
      </w:r>
    </w:p>
    <w:p w14:paraId="2ACA106D">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5.4 未实质性响应磋商文件的响应文件按无效响应处理，磋商小组将予以拒绝，供应商不得通过修改或撤销不合要求的偏离或保留而使其响应文件成为实质性响应的文件。</w:t>
      </w:r>
    </w:p>
    <w:p w14:paraId="0C1F67CE">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5.5同一项目（项目未分包）或同一分包（项目有不同分包），如出现同一品牌同一型号的产品有多个供应商参加磋商时，磋商中在其他条件合格的前提下，选取首次报价最低的供应商参加磋商最后报价，其他供应商作为无效响应处理。</w:t>
      </w:r>
    </w:p>
    <w:p w14:paraId="5A1E0BBE">
      <w:pPr>
        <w:pageBreakBefore w:val="0"/>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异常低价投标审查</w:t>
      </w:r>
    </w:p>
    <w:p w14:paraId="15E6E9B3">
      <w:pPr>
        <w:pageBreakBefore w:val="0"/>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6.1</w:t>
      </w:r>
      <w:r>
        <w:rPr>
          <w:rFonts w:hint="eastAsia" w:ascii="宋体" w:hAnsi="宋体" w:eastAsia="宋体" w:cs="宋体"/>
          <w:bCs/>
          <w:color w:val="auto"/>
          <w:szCs w:val="21"/>
          <w:highlight w:val="none"/>
        </w:rPr>
        <w:t>评标过程中出现下列情形之一的，</w:t>
      </w:r>
      <w:r>
        <w:rPr>
          <w:rFonts w:hint="eastAsia" w:ascii="宋体" w:hAnsi="宋体" w:eastAsia="宋体" w:cs="宋体"/>
          <w:bCs/>
          <w:color w:val="auto"/>
          <w:szCs w:val="21"/>
          <w:highlight w:val="none"/>
          <w:lang w:val="en-US" w:eastAsia="zh-CN"/>
        </w:rPr>
        <w:t>磋商小组</w:t>
      </w:r>
      <w:r>
        <w:rPr>
          <w:rFonts w:hint="eastAsia" w:ascii="宋体" w:hAnsi="宋体" w:eastAsia="宋体" w:cs="宋体"/>
          <w:bCs/>
          <w:color w:val="auto"/>
          <w:szCs w:val="21"/>
          <w:highlight w:val="none"/>
        </w:rPr>
        <w:t>应当启动异常低价投标审查程序:</w:t>
      </w:r>
    </w:p>
    <w:p w14:paraId="158252E4">
      <w:pPr>
        <w:pageBreakBefore w:val="0"/>
        <w:spacing w:line="360" w:lineRule="auto"/>
        <w:ind w:firstLine="42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rPr>
        <w:t>投标(响应)报价低于全部通过符合性审查供应商投标(响应)报价平均值50%的，即投标(响应)报价〈全部通过符合性审查供应商投标(响应)报价平均值X50%</w:t>
      </w:r>
      <w:r>
        <w:rPr>
          <w:rFonts w:hint="eastAsia" w:ascii="宋体" w:hAnsi="宋体" w:eastAsia="宋体" w:cs="宋体"/>
          <w:bCs/>
          <w:color w:val="auto"/>
          <w:szCs w:val="21"/>
          <w:highlight w:val="none"/>
          <w:lang w:eastAsia="zh-CN"/>
        </w:rPr>
        <w:t>；</w:t>
      </w:r>
    </w:p>
    <w:p w14:paraId="129FB775">
      <w:pPr>
        <w:pageBreakBefore w:val="0"/>
        <w:spacing w:line="360" w:lineRule="auto"/>
        <w:ind w:firstLine="42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2.投标(响应)报价低于通过符合性审查的次低报价供应商投标(响应)报价50%的，即投标(响应)报价〈通过符合性审查的次低报价供应商投标(响应)报价X50%</w:t>
      </w:r>
      <w:r>
        <w:rPr>
          <w:rFonts w:hint="eastAsia" w:ascii="宋体" w:hAnsi="宋体" w:eastAsia="宋体" w:cs="宋体"/>
          <w:bCs/>
          <w:color w:val="auto"/>
          <w:szCs w:val="21"/>
          <w:highlight w:val="none"/>
          <w:lang w:eastAsia="zh-CN"/>
        </w:rPr>
        <w:t>；</w:t>
      </w:r>
    </w:p>
    <w:p w14:paraId="66C4FD66">
      <w:pPr>
        <w:pageBreakBefore w:val="0"/>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3.投标(响应)报价低于采购项目最高限价45%的，即投标(响应)报价&lt;采购项目最高限价X45%;</w:t>
      </w:r>
    </w:p>
    <w:p w14:paraId="0E06CC00">
      <w:pPr>
        <w:pageBreakBefore w:val="0"/>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w:t>
      </w:r>
      <w:r>
        <w:rPr>
          <w:rFonts w:hint="eastAsia" w:ascii="宋体" w:hAnsi="宋体" w:eastAsia="宋体" w:cs="宋体"/>
          <w:bCs/>
          <w:color w:val="auto"/>
          <w:szCs w:val="21"/>
          <w:highlight w:val="none"/>
          <w:lang w:val="en-US" w:eastAsia="zh-CN"/>
        </w:rPr>
        <w:t>磋商小组</w:t>
      </w:r>
      <w:r>
        <w:rPr>
          <w:rFonts w:hint="eastAsia" w:ascii="宋体" w:hAnsi="宋体" w:eastAsia="宋体" w:cs="宋体"/>
          <w:bCs/>
          <w:color w:val="auto"/>
          <w:szCs w:val="21"/>
          <w:highlight w:val="none"/>
        </w:rPr>
        <w:t>基于专业判断，认为供应商报价过低，有可能影响产品质量或者不能诚信履约的其他情形。</w:t>
      </w:r>
    </w:p>
    <w:p w14:paraId="5DACFE1F">
      <w:pPr>
        <w:pageBreakBefore w:val="0"/>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val="en-US" w:eastAsia="zh-CN"/>
        </w:rPr>
        <w:t>磋商小组</w:t>
      </w:r>
      <w:r>
        <w:rPr>
          <w:rFonts w:hint="eastAsia" w:ascii="宋体" w:hAnsi="宋体" w:eastAsia="宋体" w:cs="宋体"/>
          <w:bCs/>
          <w:color w:val="auto"/>
          <w:szCs w:val="21"/>
          <w:highlight w:val="none"/>
        </w:rPr>
        <w:t>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不少于30分钟。其中，属于第3项情形，供应商已随投标(响应)文件一并提交相关书面说明及必要的证明材料的，在评审现场可不再重复提交。</w:t>
      </w:r>
    </w:p>
    <w:p w14:paraId="4D768BF2">
      <w:pPr>
        <w:pageBreakBefore w:val="0"/>
        <w:spacing w:line="360" w:lineRule="auto"/>
        <w:ind w:firstLine="420"/>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.3</w:t>
      </w:r>
      <w:r>
        <w:rPr>
          <w:rFonts w:hint="eastAsia" w:ascii="宋体" w:hAnsi="宋体" w:eastAsia="宋体" w:cs="宋体"/>
          <w:bCs/>
          <w:color w:val="auto"/>
          <w:szCs w:val="21"/>
          <w:highlight w:val="none"/>
          <w:lang w:val="en-US" w:eastAsia="zh-CN"/>
        </w:rPr>
        <w:t>磋商小组</w:t>
      </w:r>
      <w:r>
        <w:rPr>
          <w:rFonts w:hint="eastAsia" w:ascii="宋体" w:hAnsi="宋体" w:eastAsia="宋体" w:cs="宋体"/>
          <w:bCs/>
          <w:color w:val="auto"/>
          <w:szCs w:val="21"/>
          <w:highlight w:val="none"/>
        </w:rPr>
        <w:t>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hint="eastAsia" w:ascii="宋体" w:hAnsi="宋体" w:eastAsia="宋体" w:cs="宋体"/>
          <w:bCs/>
          <w:color w:val="auto"/>
          <w:szCs w:val="21"/>
          <w:highlight w:val="none"/>
          <w:lang w:val="en-US" w:eastAsia="zh-CN"/>
        </w:rPr>
        <w:t>磋商小组</w:t>
      </w:r>
      <w:r>
        <w:rPr>
          <w:rFonts w:hint="eastAsia" w:ascii="宋体" w:hAnsi="宋体" w:eastAsia="宋体" w:cs="宋体"/>
          <w:bCs/>
          <w:color w:val="auto"/>
          <w:szCs w:val="21"/>
          <w:highlight w:val="none"/>
        </w:rPr>
        <w:t>应当将其作为无效投标(响应)处理。</w:t>
      </w:r>
    </w:p>
    <w:p w14:paraId="2CBD8773">
      <w:pPr>
        <w:tabs>
          <w:tab w:val="left" w:pos="900"/>
        </w:tabs>
        <w:spacing w:line="400" w:lineRule="exact"/>
        <w:ind w:firstLine="420" w:firstLineChars="200"/>
        <w:rPr>
          <w:rFonts w:hint="eastAsia" w:ascii="宋体" w:hAnsi="宋体" w:eastAsia="宋体" w:cs="宋体"/>
          <w:color w:val="auto"/>
          <w:szCs w:val="21"/>
          <w:highlight w:val="none"/>
        </w:rPr>
      </w:pPr>
      <w:bookmarkStart w:id="135" w:name="_Toc16938550"/>
      <w:bookmarkStart w:id="136" w:name="_Toc513029234"/>
      <w:bookmarkStart w:id="137" w:name="_Toc20823306"/>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bookmarkEnd w:id="135"/>
      <w:bookmarkEnd w:id="136"/>
      <w:bookmarkEnd w:id="137"/>
      <w:r>
        <w:rPr>
          <w:rFonts w:hint="eastAsia" w:ascii="宋体" w:hAnsi="宋体" w:eastAsia="宋体" w:cs="宋体"/>
          <w:color w:val="auto"/>
          <w:szCs w:val="21"/>
          <w:highlight w:val="none"/>
        </w:rPr>
        <w:t>磋商程序及评审方法和标准</w:t>
      </w:r>
    </w:p>
    <w:p w14:paraId="0A4818FD">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bookmarkStart w:id="138" w:name="_Toc16938551"/>
      <w:bookmarkStart w:id="139" w:name="_Toc513029235"/>
      <w:bookmarkStart w:id="140" w:name="_Toc20823307"/>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.1磋商程序</w:t>
      </w:r>
    </w:p>
    <w:p w14:paraId="7C853183">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.1.1 对于通过资格性和符合性审查的供应商，磋商小组所有成员将集中与单一供应商分别进行磋商。</w:t>
      </w:r>
    </w:p>
    <w:p w14:paraId="003081F4">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14:paraId="0AE56127">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.1.2 磋商文件能够详细列明采购标的的技术、服务要求的，磋商结束后，磋商小组将要求所有实质性响应的供应商在规定时间内提交最后报价。</w:t>
      </w:r>
    </w:p>
    <w:p w14:paraId="6B9743B2">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14:paraId="5947C55D">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后报价是供应商响应文件的有效组成部分。符合《采购竞争性磋商采购方式管理暂行办法》第三条第四项及《财政部关于竞争性磋商采购方式管理暂行办法有关问题的补充通知》（财库[2015]124号）规定情形的，提交最后报价的供应商可以为2家。</w:t>
      </w:r>
    </w:p>
    <w:p w14:paraId="5F92D843">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.1.3 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w:t>
      </w:r>
    </w:p>
    <w:p w14:paraId="3F1FB958">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 评审方法和标准</w:t>
      </w:r>
    </w:p>
    <w:p w14:paraId="3F7304A1">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.2.1评审方法。经磋商确定最终采购需求和提交最后报价的供应商后，由磋商小组采用综合评分法对提交最后报价的供应商的响应文件和最后报价进行综合评分。</w:t>
      </w:r>
    </w:p>
    <w:p w14:paraId="34D541BD">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2DB9351D">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.2.2评审标准</w:t>
      </w:r>
    </w:p>
    <w:p w14:paraId="093EC649">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见本磋商文件第五章规定。</w:t>
      </w:r>
    </w:p>
    <w:p w14:paraId="0061522A">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.3采购活动终止的情况</w:t>
      </w:r>
    </w:p>
    <w:p w14:paraId="4DB09A92">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出现下列情形之一的，本次竞争性磋商采购活动将被终止：</w:t>
      </w:r>
    </w:p>
    <w:p w14:paraId="6D418902">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（1）因情况变化，不再符合规定的竞争性磋商采购方式适用情形的；</w:t>
      </w:r>
    </w:p>
    <w:p w14:paraId="427F5892">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（2）出现影响采购公正的违法、违规行为的；</w:t>
      </w:r>
    </w:p>
    <w:p w14:paraId="20ED5BE7">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（3）除本磋商文件第6.1.2条第三款规定的情形外，在采购过程中符合要求的供应商或者报价未超过采购预算的供应商不足3家的。</w:t>
      </w:r>
      <w:bookmarkEnd w:id="138"/>
      <w:bookmarkEnd w:id="139"/>
      <w:bookmarkEnd w:id="140"/>
    </w:p>
    <w:p w14:paraId="203E570F">
      <w:pPr>
        <w:tabs>
          <w:tab w:val="left" w:pos="900"/>
        </w:tabs>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五、成交</w:t>
      </w:r>
    </w:p>
    <w:p w14:paraId="4797D988">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bookmarkStart w:id="141" w:name="_Toc513029238"/>
      <w:bookmarkStart w:id="142" w:name="_Toc20823310"/>
      <w:bookmarkStart w:id="143" w:name="_Toc16938554"/>
      <w:r>
        <w:rPr>
          <w:rFonts w:hint="eastAsia" w:ascii="宋体" w:hAnsi="宋体" w:eastAsia="宋体" w:cs="宋体"/>
          <w:color w:val="auto"/>
          <w:szCs w:val="21"/>
          <w:highlight w:val="none"/>
        </w:rPr>
        <w:t>1、</w:t>
      </w:r>
      <w:bookmarkEnd w:id="141"/>
      <w:r>
        <w:rPr>
          <w:rFonts w:hint="eastAsia" w:ascii="宋体" w:hAnsi="宋体" w:eastAsia="宋体" w:cs="宋体"/>
          <w:color w:val="auto"/>
          <w:szCs w:val="21"/>
          <w:highlight w:val="none"/>
        </w:rPr>
        <w:t>确定</w:t>
      </w:r>
      <w:bookmarkEnd w:id="142"/>
      <w:bookmarkEnd w:id="143"/>
      <w:r>
        <w:rPr>
          <w:rFonts w:hint="eastAsia" w:ascii="宋体" w:hAnsi="宋体" w:eastAsia="宋体" w:cs="宋体"/>
          <w:color w:val="auto"/>
          <w:szCs w:val="21"/>
          <w:highlight w:val="none"/>
        </w:rPr>
        <w:t>成交单位</w:t>
      </w:r>
    </w:p>
    <w:p w14:paraId="5AEB0012">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磋商小组根据综合评分情况，按照评审得分由高到低顺序推荐3名以上成交候选供应商，并编写评审报告。符合本文件第</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.1.2条情形的，可以推荐2家成交候选供应商。评审得分相同的，按照最后报价由低到高的顺序推荐。评审得分且最后报价相同的，按照技术指标优劣顺序推荐。</w:t>
      </w:r>
    </w:p>
    <w:p w14:paraId="587AA2F2">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1.2采购人根据磋商小组推荐的成交候选人确定成交供应商。采购人确定成交供应商后，代理机构将在“</w:t>
      </w:r>
      <w:r>
        <w:rPr>
          <w:rFonts w:hint="eastAsia" w:ascii="宋体" w:hAnsi="宋体" w:eastAsia="宋体" w:cs="宋体"/>
          <w:color w:val="auto"/>
          <w:szCs w:val="21"/>
          <w:highlight w:val="none"/>
          <w:lang w:eastAsia="zh-CN"/>
        </w:rPr>
        <w:t>扬州市公共资源交易平台邗江分中心国企采购栏目</w:t>
      </w:r>
      <w:r>
        <w:rPr>
          <w:rFonts w:hint="eastAsia" w:ascii="宋体" w:hAnsi="宋体" w:eastAsia="宋体" w:cs="宋体"/>
          <w:color w:val="auto"/>
          <w:szCs w:val="21"/>
          <w:highlight w:val="none"/>
        </w:rPr>
        <w:t>”“扬州维扬发展投资有限公司网”发布成交结果公告，公告期限为1个工作日。</w:t>
      </w:r>
    </w:p>
    <w:p w14:paraId="0763380A">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1.3若有充分证据证明，成交供应商出现下列情况之一的，一经查实，将被取消成交资格：</w:t>
      </w:r>
    </w:p>
    <w:p w14:paraId="740DEDC3">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（1）提供虚假材料谋取成交的；</w:t>
      </w:r>
    </w:p>
    <w:p w14:paraId="018F62CC">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（2）与评审专家、采购人、其他供应商或者代理机构工作人员恶意串通的；</w:t>
      </w:r>
    </w:p>
    <w:p w14:paraId="45816CCC">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（3）向评审专家、采购人或代理机构工作人员行贿或者提供其他不正当利益的；</w:t>
      </w:r>
    </w:p>
    <w:p w14:paraId="61570663">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（4）恶意竞争，最终总报价明显低于其自身合理成本且又无法提供证明的；</w:t>
      </w:r>
    </w:p>
    <w:p w14:paraId="3E7E8450">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（5）不满足本磋商文件规定的实质性要求，但在评审过程中又未被磋商小组发现的；</w:t>
      </w:r>
    </w:p>
    <w:p w14:paraId="1C4871E3">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（6）成交后无正当理由拒不与采购人签订采购合同或者未按照磋商文件确定的事项签订采购合同；</w:t>
      </w:r>
    </w:p>
    <w:p w14:paraId="27001864">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（7）将采购合同转包；</w:t>
      </w:r>
    </w:p>
    <w:p w14:paraId="6F3D1A6C">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（8）法律、法规、规章规定的属于成交无效的其他情形。</w:t>
      </w:r>
    </w:p>
    <w:p w14:paraId="42937C0F">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2、质疑处理</w:t>
      </w:r>
    </w:p>
    <w:p w14:paraId="6FC7BBD9">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2.1供应商认为磋商文件、采购过程和中标或成交结果使自己的权益受到损害的，可以在知道或应知其权益受到损害之日起七个工作日内，以书面形式（原件送达）向采购人或代理机构提出质疑。</w:t>
      </w:r>
    </w:p>
    <w:p w14:paraId="3BA68AA3">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2.1.1对磋商文件提出质疑的，应当在获取磋商文件之日或者磋商文件公告期限届满之日起7个工作日内提出。</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　　2.1.2对采购过程提出质疑的，为各采购程序环节结束之日起7个工作日内提出。</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　　2.1.3对成交结果提出质疑的，为成交结果公告期限届满之日起7个工作日内提出。</w:t>
      </w:r>
    </w:p>
    <w:p w14:paraId="1B224144">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snapToGrid w:val="0"/>
          <w:color w:val="auto"/>
          <w:szCs w:val="21"/>
          <w:highlight w:val="none"/>
        </w:rPr>
      </w:pPr>
      <w:r>
        <w:rPr>
          <w:rFonts w:hint="eastAsia" w:ascii="宋体" w:hAnsi="宋体" w:eastAsia="宋体" w:cs="宋体"/>
          <w:color w:val="auto"/>
          <w:szCs w:val="21"/>
          <w:highlight w:val="none"/>
        </w:rPr>
        <w:t>2.2质疑供应商应在法定质疑期内一次性提出针对同一采购程序环节的质疑。供应商如在法定期限内对同一采购程序环节提出多次质疑的，代理机构、采购人将只对供应商第一次质疑作出答复。</w:t>
      </w:r>
    </w:p>
    <w:p w14:paraId="31D0A4A1">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2.3提出质疑的供应商（以下简称质疑供应商）应当是参与所质疑项目采购活动的供应商。未参加磋商采购活动的供应商或在磋商采购活动中自身权益未受到损害的供应商所提出的质疑不予受理。</w:t>
      </w:r>
    </w:p>
    <w:p w14:paraId="3A52E44E">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质疑必须由磋商供应商法定代表人或授权代表（响应文件中所确定的）以原件送达的方式提交，未按上述要求提交的质疑函（含传真、电子邮件等）代理机构有权不予受理。</w:t>
      </w:r>
    </w:p>
    <w:p w14:paraId="7D7F1DE3">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潜在供应商已依法获取其可质疑的采购文件的，可以对该文件提出质疑。对采购文件提出质疑的，应当在获取采购文件或者采购文件公告期限届满之日起7个工作日内提出。</w:t>
      </w:r>
    </w:p>
    <w:p w14:paraId="164EB57F">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2.4供应商提出质疑应当提交质疑函和必要的证明材料。质疑函应当包括下列内容：</w:t>
      </w:r>
    </w:p>
    <w:p w14:paraId="660BD2B6">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2.4.1供应商的姓名或者名称、地址、邮编、联系人及联系电话；</w:t>
      </w:r>
    </w:p>
    <w:p w14:paraId="374ABAD1">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2.4.2质疑项目的名称、编号；</w:t>
      </w:r>
    </w:p>
    <w:p w14:paraId="4EE1962A">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2.4.3具体、明确的质疑事项和与质疑事项相关的请求；</w:t>
      </w:r>
    </w:p>
    <w:p w14:paraId="5B3E1459">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2.4.4事实依据；</w:t>
      </w:r>
    </w:p>
    <w:p w14:paraId="52F2C654">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2.4.5必要的法律依据；</w:t>
      </w:r>
    </w:p>
    <w:p w14:paraId="17965DB1">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2.4.6提出质疑的日期。</w:t>
      </w:r>
    </w:p>
    <w:p w14:paraId="6EC1AAC3">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函应当署名：供应商为自然人的，应当由本人签字并附有效身份证明；供应商为法人或者其他组织的，应当由法定代表人、主要负责人，或者其授权代表签字或者盖章，并加盖公章。质疑人委托代理质疑的，应当向代理机构提交授权委托书，并载明委托代理的具体权限和事项。</w:t>
      </w:r>
    </w:p>
    <w:p w14:paraId="4A02B0BF">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《质疑函》及《授权委托书》格式见网址：http://zfcg.yangzhou.gov.cn</w:t>
      </w:r>
    </w:p>
    <w:p w14:paraId="32026BAD">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2.5代理机构收到质疑申请后，将对质疑的形式和内容进行审查，如质疑内容、格式不符合规定，代理机构将告知质疑人进行补正。</w:t>
      </w:r>
    </w:p>
    <w:p w14:paraId="07E2B3A3">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2.6质疑人应当在法定质疑期限内进行补正并重新提交质疑函，拒不补正或者在法定期限内未重新提交质疑函的，为无效质疑，代理机构有权不予受理。</w:t>
      </w:r>
    </w:p>
    <w:p w14:paraId="19205F9D">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2.7对于内容、格式符合规定的质疑函，代理机构将在收到参加磋商供应商的书面质疑后七个工作日内作出答复，并以书面形式通知质疑供应商和其他相关供应商，答复的内容不涉及商业秘密。</w:t>
      </w:r>
    </w:p>
    <w:p w14:paraId="3DB838EB">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2.8供应商提出书面质疑必须有理、有据，不得恶意质疑或提交虚假质疑。否则，一经查实，代理机构有权依据的有关规定，报请政府相关部门对该供应商进行相应的行政处罚。</w:t>
      </w:r>
    </w:p>
    <w:p w14:paraId="4B41C855">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 诚实信用</w:t>
      </w:r>
    </w:p>
    <w:p w14:paraId="2BBC1DA8">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 供应商之间不得相互串通投标报价，不得妨碍其他供应商的公平竞争，不得损害采购人和其他供应商的合法权益。</w:t>
      </w:r>
    </w:p>
    <w:p w14:paraId="399A5E1B">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 供应商不得以向代理机构工作人员、评标委员会成员行贿或者采取其他不正当手段谋取中标。经查实供应商有此行为的，管理部门将供应商列入不良行为记录名单，按照有关规定处理。</w:t>
      </w:r>
    </w:p>
    <w:p w14:paraId="333C34F4">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 供应商提出书面质疑必须有理、有据，不得虚假质疑和恶意质疑，并对质疑内容的真实性承担责任。一经查实，代理机构有权依据的有关规定，报请监管部门对该供应商进行相应的行政处罚并在网站上予以公示。如果供应商或者其他利害关系人通过捏造事实、伪造证明材料等方式提出质疑，干扰采购活动正常进行的，属于严重不良行为，代理机构将提请监管部门将其列入不良行为记录名单，并依法予以处罚。</w:t>
      </w:r>
    </w:p>
    <w:p w14:paraId="0CACD2F9">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 供应商不得虚假承诺，否则，按照提供虚假材料谋取中标成交处理。</w:t>
      </w:r>
    </w:p>
    <w:p w14:paraId="3EA77063">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 供应商应自觉遵守开标、评标纪律，扰乱开标评标现场秩序的，属于失信行为，失信行为将被记入供应商诚信档案。</w:t>
      </w:r>
    </w:p>
    <w:p w14:paraId="4E510A5C">
      <w:pPr>
        <w:tabs>
          <w:tab w:val="left" w:pos="900"/>
        </w:tabs>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六、合同签订相关事项</w:t>
      </w:r>
    </w:p>
    <w:p w14:paraId="356BD1F8">
      <w:pPr>
        <w:tabs>
          <w:tab w:val="left" w:pos="900"/>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1、签订合同</w:t>
      </w:r>
    </w:p>
    <w:p w14:paraId="1E991353">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l成交供应商确定后，代理机构将向成交供应商发出成交通知书。成交供应商应按成交通知书规定的时间、地点,按照磋商文件确定的事项与采购人签订采购合同，且不得迟于成交通知书发出之日起三十日内，由此给采购人造成损失的，成交供应商还应承担赔偿责任。</w:t>
      </w:r>
    </w:p>
    <w:p w14:paraId="73AEC3E2">
      <w:pPr>
        <w:tabs>
          <w:tab w:val="left" w:pos="900"/>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 磋商文件、成交供应商的响应文件及磋商采购过程中有关澄清、承诺文件均应作为合同附件。</w:t>
      </w:r>
    </w:p>
    <w:p w14:paraId="363F4A7D">
      <w:pPr>
        <w:tabs>
          <w:tab w:val="left" w:pos="900"/>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 签订合同后，</w:t>
      </w:r>
      <w:r>
        <w:rPr>
          <w:rFonts w:hint="eastAsia" w:ascii="宋体" w:hAnsi="宋体" w:eastAsia="宋体" w:cs="宋体"/>
          <w:i/>
          <w:color w:val="auto"/>
          <w:szCs w:val="21"/>
          <w:highlight w:val="none"/>
          <w:u w:val="single"/>
        </w:rPr>
        <w:t>成交供应商不得将成交产品或服务进行转包。</w:t>
      </w:r>
      <w:r>
        <w:rPr>
          <w:rFonts w:hint="eastAsia" w:ascii="宋体" w:hAnsi="宋体" w:eastAsia="宋体" w:cs="宋体"/>
          <w:color w:val="auto"/>
          <w:szCs w:val="21"/>
          <w:highlight w:val="none"/>
        </w:rPr>
        <w:t>未经采购人同意，成交供应商也不得采用分包的形式履行合同，否则采购人有权终止合同。转包或分包造成采购人损失的，成交供应商应承担相应赔偿责任。</w:t>
      </w:r>
    </w:p>
    <w:p w14:paraId="4CC4B305">
      <w:pPr>
        <w:tabs>
          <w:tab w:val="left" w:pos="900"/>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2、履约保证金</w:t>
      </w:r>
    </w:p>
    <w:p w14:paraId="7F31FCC9">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本项目不收取履约保证金。</w:t>
      </w:r>
    </w:p>
    <w:p w14:paraId="0783A834">
      <w:pPr>
        <w:pStyle w:val="2"/>
        <w:rPr>
          <w:rFonts w:hint="eastAsia" w:ascii="宋体" w:hAnsi="宋体" w:eastAsia="宋体" w:cs="宋体"/>
          <w:color w:val="auto"/>
          <w:highlight w:val="none"/>
        </w:rPr>
      </w:pPr>
    </w:p>
    <w:p w14:paraId="2D885B87">
      <w:pPr>
        <w:tabs>
          <w:tab w:val="left" w:pos="2311"/>
        </w:tabs>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8035884">
      <w:pPr>
        <w:pStyle w:val="11"/>
        <w:numPr>
          <w:ilvl w:val="0"/>
          <w:numId w:val="2"/>
        </w:numPr>
        <w:jc w:val="center"/>
        <w:rPr>
          <w:rFonts w:hint="eastAsia" w:ascii="宋体" w:hAnsi="宋体" w:eastAsia="宋体" w:cs="宋体"/>
          <w:color w:val="auto"/>
          <w:sz w:val="36"/>
          <w:highlight w:val="none"/>
        </w:rPr>
      </w:pPr>
      <w:bookmarkStart w:id="144" w:name="_Toc528836791"/>
      <w:bookmarkStart w:id="145" w:name="_Toc528836793"/>
      <w:bookmarkStart w:id="146" w:name="_Toc528836795"/>
      <w:r>
        <w:rPr>
          <w:rFonts w:hint="eastAsia" w:ascii="宋体" w:hAnsi="宋体" w:eastAsia="宋体" w:cs="宋体"/>
          <w:color w:val="auto"/>
          <w:sz w:val="36"/>
          <w:highlight w:val="none"/>
        </w:rPr>
        <w:t>合同条款及格式</w:t>
      </w:r>
      <w:bookmarkEnd w:id="144"/>
    </w:p>
    <w:p w14:paraId="4583B413">
      <w:pPr>
        <w:spacing w:line="360" w:lineRule="auto"/>
        <w:rPr>
          <w:rFonts w:hint="eastAsia" w:ascii="宋体" w:hAnsi="宋体" w:cs="宋体"/>
          <w:b/>
          <w:bCs/>
          <w:color w:val="auto"/>
          <w:sz w:val="30"/>
          <w:szCs w:val="30"/>
          <w:highlight w:val="none"/>
        </w:rPr>
      </w:pPr>
      <w:r>
        <w:rPr>
          <w:rFonts w:hint="eastAsia" w:ascii="宋体" w:hAnsi="宋体" w:cs="宋体"/>
          <w:b/>
          <w:color w:val="auto"/>
          <w:sz w:val="32"/>
          <w:szCs w:val="32"/>
          <w:highlight w:val="none"/>
        </w:rPr>
        <w:t>（ＧＦ－2012－0202）</w:t>
      </w:r>
    </w:p>
    <w:p w14:paraId="3B993F6B">
      <w:pPr>
        <w:jc w:val="center"/>
        <w:rPr>
          <w:rFonts w:hint="eastAsia" w:ascii="宋体" w:hAnsi="宋体" w:eastAsia="宋体" w:cs="宋体"/>
          <w:b/>
          <w:color w:val="auto"/>
          <w:sz w:val="52"/>
          <w:szCs w:val="52"/>
          <w:highlight w:val="none"/>
        </w:rPr>
      </w:pPr>
    </w:p>
    <w:p w14:paraId="4A11E084">
      <w:pPr>
        <w:jc w:val="center"/>
        <w:rPr>
          <w:rFonts w:hint="eastAsia" w:ascii="宋体" w:hAnsi="宋体" w:eastAsia="宋体" w:cs="宋体"/>
          <w:b/>
          <w:color w:val="auto"/>
          <w:sz w:val="52"/>
          <w:szCs w:val="52"/>
          <w:highlight w:val="none"/>
        </w:rPr>
      </w:pPr>
    </w:p>
    <w:p w14:paraId="6CB4C2CC">
      <w:pPr>
        <w:pStyle w:val="2"/>
        <w:ind w:firstLine="420"/>
        <w:rPr>
          <w:rFonts w:hint="eastAsia" w:ascii="宋体" w:hAnsi="宋体" w:eastAsia="宋体" w:cs="宋体"/>
          <w:color w:val="auto"/>
          <w:highlight w:val="none"/>
        </w:rPr>
      </w:pPr>
    </w:p>
    <w:p w14:paraId="46792F58">
      <w:pPr>
        <w:jc w:val="both"/>
        <w:rPr>
          <w:rFonts w:hint="eastAsia" w:ascii="宋体" w:hAnsi="宋体" w:eastAsia="宋体" w:cs="宋体"/>
          <w:b/>
          <w:color w:val="auto"/>
          <w:sz w:val="52"/>
          <w:szCs w:val="52"/>
          <w:highlight w:val="none"/>
        </w:rPr>
      </w:pPr>
    </w:p>
    <w:p w14:paraId="2A08EDCB">
      <w:pPr>
        <w:jc w:val="center"/>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rPr>
        <w:t>建设工程监理合同</w:t>
      </w:r>
      <w:r>
        <w:rPr>
          <w:rFonts w:hint="eastAsia" w:ascii="宋体" w:hAnsi="宋体" w:eastAsia="宋体" w:cs="宋体"/>
          <w:b/>
          <w:color w:val="auto"/>
          <w:sz w:val="52"/>
          <w:szCs w:val="52"/>
          <w:highlight w:val="none"/>
        </w:rPr>
        <w:br w:type="textWrapping"/>
      </w:r>
    </w:p>
    <w:p w14:paraId="43E19F2E">
      <w:pPr>
        <w:jc w:val="center"/>
        <w:rPr>
          <w:rFonts w:hint="eastAsia" w:ascii="宋体" w:hAnsi="宋体" w:eastAsia="宋体" w:cs="宋体"/>
          <w:b/>
          <w:color w:val="auto"/>
          <w:sz w:val="52"/>
          <w:szCs w:val="52"/>
          <w:highlight w:val="none"/>
        </w:rPr>
      </w:pPr>
    </w:p>
    <w:p w14:paraId="162BC02F">
      <w:pPr>
        <w:jc w:val="center"/>
        <w:rPr>
          <w:rFonts w:hint="eastAsia" w:ascii="宋体" w:hAnsi="宋体" w:eastAsia="宋体" w:cs="宋体"/>
          <w:b/>
          <w:color w:val="auto"/>
          <w:sz w:val="52"/>
          <w:szCs w:val="52"/>
          <w:highlight w:val="none"/>
        </w:rPr>
      </w:pPr>
    </w:p>
    <w:p w14:paraId="7CCC2C67">
      <w:pPr>
        <w:jc w:val="center"/>
        <w:rPr>
          <w:rFonts w:hint="eastAsia" w:ascii="宋体" w:hAnsi="宋体" w:eastAsia="宋体" w:cs="宋体"/>
          <w:b/>
          <w:color w:val="auto"/>
          <w:sz w:val="72"/>
          <w:szCs w:val="72"/>
          <w:highlight w:val="none"/>
        </w:rPr>
      </w:pPr>
    </w:p>
    <w:p w14:paraId="76FBFB3C">
      <w:pPr>
        <w:pStyle w:val="17"/>
        <w:rPr>
          <w:rFonts w:hint="eastAsia" w:ascii="宋体" w:hAnsi="宋体" w:eastAsia="宋体" w:cs="宋体"/>
          <w:color w:val="auto"/>
          <w:highlight w:val="none"/>
        </w:rPr>
      </w:pPr>
    </w:p>
    <w:p w14:paraId="7598DE3A">
      <w:pPr>
        <w:jc w:val="center"/>
        <w:rPr>
          <w:rFonts w:hint="eastAsia" w:ascii="宋体" w:hAnsi="宋体" w:eastAsia="宋体" w:cs="宋体"/>
          <w:b/>
          <w:color w:val="auto"/>
          <w:sz w:val="52"/>
          <w:szCs w:val="52"/>
          <w:highlight w:val="none"/>
        </w:rPr>
      </w:pPr>
    </w:p>
    <w:p w14:paraId="48B4BCE5">
      <w:pPr>
        <w:pStyle w:val="2"/>
        <w:rPr>
          <w:rFonts w:hint="eastAsia" w:ascii="宋体" w:hAnsi="宋体" w:eastAsia="宋体" w:cs="宋体"/>
          <w:b/>
          <w:color w:val="auto"/>
          <w:sz w:val="52"/>
          <w:szCs w:val="52"/>
          <w:highlight w:val="none"/>
        </w:rPr>
      </w:pPr>
    </w:p>
    <w:p w14:paraId="4044A37E">
      <w:pPr>
        <w:pStyle w:val="4"/>
        <w:rPr>
          <w:rFonts w:hint="eastAsia" w:ascii="宋体" w:hAnsi="宋体" w:eastAsia="宋体" w:cs="宋体"/>
          <w:b/>
          <w:color w:val="auto"/>
          <w:sz w:val="52"/>
          <w:szCs w:val="52"/>
          <w:highlight w:val="none"/>
        </w:rPr>
      </w:pPr>
    </w:p>
    <w:p w14:paraId="7B87A45D">
      <w:pPr>
        <w:rPr>
          <w:rFonts w:hint="eastAsia" w:ascii="宋体" w:hAnsi="宋体" w:eastAsia="宋体" w:cs="宋体"/>
          <w:b/>
          <w:color w:val="auto"/>
          <w:highlight w:val="none"/>
        </w:rPr>
      </w:pPr>
    </w:p>
    <w:p w14:paraId="1A15E532">
      <w:pPr>
        <w:tabs>
          <w:tab w:val="left" w:pos="3120"/>
        </w:tabs>
        <w:spacing w:line="480" w:lineRule="auto"/>
        <w:ind w:firstLine="643" w:firstLineChars="200"/>
        <w:jc w:val="cente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第一部分  协议书</w:t>
      </w:r>
    </w:p>
    <w:p w14:paraId="2AEF6A1F">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委托人（全称）：</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u w:val="single"/>
          <w:lang w:val="en-US" w:eastAsia="zh-CN"/>
        </w:rPr>
        <w:t xml:space="preserve">                       </w:t>
      </w:r>
      <w:r>
        <w:rPr>
          <w:rFonts w:hint="eastAsia" w:ascii="宋体" w:hAnsi="宋体" w:eastAsia="宋体" w:cs="宋体"/>
          <w:b/>
          <w:color w:val="auto"/>
          <w:szCs w:val="21"/>
          <w:highlight w:val="none"/>
          <w:u w:val="single"/>
        </w:rPr>
        <w:t xml:space="preserve"> </w:t>
      </w:r>
    </w:p>
    <w:p w14:paraId="740CB146">
      <w:pPr>
        <w:snapToGrid w:val="0"/>
        <w:spacing w:line="360" w:lineRule="auto"/>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 xml:space="preserve">监理人（全称）： </w:t>
      </w:r>
      <w:r>
        <w:rPr>
          <w:rFonts w:hint="eastAsia" w:ascii="宋体" w:hAnsi="宋体" w:eastAsia="宋体" w:cs="宋体"/>
          <w:b/>
          <w:color w:val="auto"/>
          <w:szCs w:val="21"/>
          <w:highlight w:val="none"/>
          <w:u w:val="single"/>
        </w:rPr>
        <w:t xml:space="preserve">                          </w:t>
      </w:r>
    </w:p>
    <w:p w14:paraId="1B9AD824">
      <w:pPr>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根据《中华人民共和国民法典》、《中华人民共和国建筑法》及其他有关法律、法规，遵循平等、自愿、公平和诚信的原则，双方就下述工程委托监理与相关服务事项协商一致，订立本合同。</w:t>
      </w:r>
    </w:p>
    <w:p w14:paraId="3E3D1217">
      <w:pPr>
        <w:snapToGrid w:val="0"/>
        <w:spacing w:line="360" w:lineRule="auto"/>
        <w:ind w:firstLine="417" w:firstLineChars="198"/>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一、工程概况</w:t>
      </w:r>
    </w:p>
    <w:p w14:paraId="3CEFD866">
      <w:pPr>
        <w:widowControl/>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工程名称：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BD06503">
      <w:pPr>
        <w:widowControl/>
        <w:tabs>
          <w:tab w:val="left" w:pos="6090"/>
        </w:tabs>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工程地点：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3E3E53D">
      <w:pPr>
        <w:snapToGrid w:val="0"/>
        <w:spacing w:line="360" w:lineRule="auto"/>
        <w:ind w:firstLine="415" w:firstLineChars="198"/>
        <w:rPr>
          <w:rFonts w:hint="eastAsia" w:ascii="宋体" w:hAnsi="宋体" w:eastAsia="宋体" w:cs="宋体"/>
          <w:color w:val="auto"/>
          <w:szCs w:val="21"/>
          <w:highlight w:val="none"/>
        </w:rPr>
      </w:pPr>
      <w:r>
        <w:rPr>
          <w:rFonts w:hint="eastAsia" w:ascii="宋体" w:hAnsi="宋体" w:eastAsia="宋体" w:cs="宋体"/>
          <w:color w:val="auto"/>
          <w:szCs w:val="21"/>
          <w:highlight w:val="none"/>
        </w:rPr>
        <w:t>3. 工程规模：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E898FD7">
      <w:pPr>
        <w:snapToGrid w:val="0"/>
        <w:spacing w:line="360" w:lineRule="auto"/>
        <w:ind w:firstLine="415" w:firstLineChars="198"/>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4. </w:t>
      </w:r>
      <w:r>
        <w:rPr>
          <w:rFonts w:hint="eastAsia" w:ascii="宋体" w:hAnsi="宋体" w:eastAsia="宋体" w:cs="宋体"/>
          <w:color w:val="auto"/>
          <w:highlight w:val="none"/>
        </w:rPr>
        <w:t>工程概算投资额或建筑安装工程费：</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w:t>
      </w:r>
    </w:p>
    <w:p w14:paraId="1CD4C62E">
      <w:pPr>
        <w:snapToGrid w:val="0"/>
        <w:spacing w:line="360" w:lineRule="auto"/>
        <w:ind w:firstLine="417" w:firstLineChars="198"/>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二、词语限定</w:t>
      </w:r>
    </w:p>
    <w:p w14:paraId="0DA4890D">
      <w:pPr>
        <w:snapToGrid w:val="0"/>
        <w:spacing w:line="360" w:lineRule="auto"/>
        <w:ind w:firstLine="415" w:firstLineChars="198"/>
        <w:rPr>
          <w:rFonts w:hint="eastAsia" w:ascii="宋体" w:hAnsi="宋体" w:eastAsia="宋体" w:cs="宋体"/>
          <w:color w:val="auto"/>
          <w:szCs w:val="21"/>
          <w:highlight w:val="none"/>
        </w:rPr>
      </w:pPr>
      <w:r>
        <w:rPr>
          <w:rFonts w:hint="eastAsia" w:ascii="宋体" w:hAnsi="宋体" w:eastAsia="宋体" w:cs="宋体"/>
          <w:color w:val="auto"/>
          <w:szCs w:val="21"/>
          <w:highlight w:val="none"/>
        </w:rPr>
        <w:t>协议书中相关词语的含义与通用条件中的定义与解释相同。</w:t>
      </w:r>
    </w:p>
    <w:p w14:paraId="135AE477">
      <w:pPr>
        <w:snapToGrid w:val="0"/>
        <w:spacing w:line="360" w:lineRule="auto"/>
        <w:ind w:firstLine="417" w:firstLineChars="198"/>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三、组成本合同的文件</w:t>
      </w:r>
    </w:p>
    <w:p w14:paraId="179223BF">
      <w:pPr>
        <w:snapToGrid w:val="0"/>
        <w:spacing w:line="360" w:lineRule="auto"/>
        <w:ind w:firstLine="415" w:firstLineChars="198"/>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协议书；</w:t>
      </w:r>
    </w:p>
    <w:p w14:paraId="161BD354">
      <w:pPr>
        <w:snapToGrid w:val="0"/>
        <w:spacing w:line="360" w:lineRule="auto"/>
        <w:ind w:firstLine="415" w:firstLineChars="198"/>
        <w:rPr>
          <w:rFonts w:hint="eastAsia" w:ascii="宋体" w:hAnsi="宋体" w:eastAsia="宋体" w:cs="宋体"/>
          <w:color w:val="auto"/>
          <w:szCs w:val="21"/>
          <w:highlight w:val="none"/>
        </w:rPr>
      </w:pPr>
      <w:r>
        <w:rPr>
          <w:rFonts w:hint="eastAsia" w:ascii="宋体" w:hAnsi="宋体" w:eastAsia="宋体" w:cs="宋体"/>
          <w:color w:val="auto"/>
          <w:szCs w:val="21"/>
          <w:highlight w:val="none"/>
        </w:rPr>
        <w:t>2. 中标通知书（适用于招标工程）或委托书（适用于非招标工程）；</w:t>
      </w:r>
    </w:p>
    <w:p w14:paraId="61177AA3">
      <w:pPr>
        <w:snapToGrid w:val="0"/>
        <w:spacing w:line="360" w:lineRule="auto"/>
        <w:ind w:firstLine="415" w:firstLineChars="198"/>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投标文件（适用于招标工程）或监理与相关服务建议书（适用于非招标工程）；</w:t>
      </w:r>
    </w:p>
    <w:p w14:paraId="4ABF5FAA">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4. 专用条件；</w:t>
      </w:r>
    </w:p>
    <w:p w14:paraId="2131656A">
      <w:pPr>
        <w:snapToGrid w:val="0"/>
        <w:spacing w:line="360" w:lineRule="auto"/>
        <w:ind w:firstLine="415" w:firstLineChars="198"/>
        <w:rPr>
          <w:rFonts w:hint="eastAsia" w:ascii="宋体" w:hAnsi="宋体" w:eastAsia="宋体" w:cs="宋体"/>
          <w:color w:val="auto"/>
          <w:szCs w:val="21"/>
          <w:highlight w:val="none"/>
        </w:rPr>
      </w:pPr>
      <w:r>
        <w:rPr>
          <w:rFonts w:hint="eastAsia" w:ascii="宋体" w:hAnsi="宋体" w:eastAsia="宋体" w:cs="宋体"/>
          <w:color w:val="auto"/>
          <w:szCs w:val="21"/>
          <w:highlight w:val="none"/>
        </w:rPr>
        <w:t>5. 通用条件；</w:t>
      </w:r>
    </w:p>
    <w:p w14:paraId="460FA677">
      <w:pPr>
        <w:snapToGrid w:val="0"/>
        <w:spacing w:line="360" w:lineRule="auto"/>
        <w:ind w:firstLine="415" w:firstLineChars="198"/>
        <w:rPr>
          <w:rFonts w:hint="eastAsia" w:ascii="宋体" w:hAnsi="宋体" w:eastAsia="宋体" w:cs="宋体"/>
          <w:color w:val="auto"/>
          <w:szCs w:val="21"/>
          <w:highlight w:val="none"/>
        </w:rPr>
      </w:pPr>
      <w:r>
        <w:rPr>
          <w:rFonts w:hint="eastAsia" w:ascii="宋体" w:hAnsi="宋体" w:eastAsia="宋体" w:cs="宋体"/>
          <w:color w:val="auto"/>
          <w:szCs w:val="21"/>
          <w:highlight w:val="none"/>
        </w:rPr>
        <w:t>6. 附录，即：</w:t>
      </w:r>
    </w:p>
    <w:p w14:paraId="3351A6A1">
      <w:pPr>
        <w:snapToGrid w:val="0"/>
        <w:spacing w:line="360" w:lineRule="auto"/>
        <w:ind w:firstLine="415" w:firstLineChars="198"/>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附录A  相关服务的范围和内容</w:t>
      </w:r>
    </w:p>
    <w:p w14:paraId="26B355A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附录B  委托人派遣的人员和提供的</w:t>
      </w:r>
      <w:r>
        <w:rPr>
          <w:rFonts w:hint="eastAsia" w:ascii="宋体" w:hAnsi="宋体" w:eastAsia="宋体" w:cs="宋体"/>
          <w:bCs/>
          <w:color w:val="auto"/>
          <w:szCs w:val="21"/>
          <w:highlight w:val="none"/>
        </w:rPr>
        <w:t>房屋、资料</w:t>
      </w:r>
      <w:r>
        <w:rPr>
          <w:rFonts w:hint="eastAsia" w:ascii="宋体" w:hAnsi="宋体" w:eastAsia="宋体" w:cs="宋体"/>
          <w:color w:val="auto"/>
          <w:szCs w:val="21"/>
          <w:highlight w:val="none"/>
        </w:rPr>
        <w:t>、设备</w:t>
      </w:r>
    </w:p>
    <w:p w14:paraId="624BEC4B">
      <w:pPr>
        <w:snapToGrid w:val="0"/>
        <w:spacing w:line="360" w:lineRule="auto"/>
        <w:ind w:firstLine="415" w:firstLineChars="198"/>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本合同签订后，双方依法签订的补充协议也是本合同文件的组成部分。</w:t>
      </w:r>
    </w:p>
    <w:p w14:paraId="336ED81F">
      <w:pPr>
        <w:snapToGrid w:val="0"/>
        <w:spacing w:line="360" w:lineRule="auto"/>
        <w:ind w:firstLine="417" w:firstLineChars="198"/>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四、监理工程师</w:t>
      </w:r>
    </w:p>
    <w:p w14:paraId="6F3D0B13">
      <w:pPr>
        <w:snapToGrid w:val="0"/>
        <w:spacing w:line="360" w:lineRule="auto"/>
        <w:ind w:left="552" w:leftChars="263"/>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总监理工程师姓名：</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w:t>
      </w:r>
    </w:p>
    <w:p w14:paraId="5C236EB4">
      <w:pPr>
        <w:snapToGrid w:val="0"/>
        <w:spacing w:line="360" w:lineRule="auto"/>
        <w:ind w:left="552" w:leftChars="263"/>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b/>
          <w:color w:val="auto"/>
          <w:szCs w:val="21"/>
          <w:highlight w:val="none"/>
          <w:u w:val="single"/>
        </w:rPr>
        <w:t xml:space="preserve">          </w:t>
      </w:r>
      <w:r>
        <w:rPr>
          <w:rFonts w:hint="eastAsia" w:ascii="宋体" w:hAnsi="宋体" w:eastAsia="宋体" w:cs="宋体"/>
          <w:b/>
          <w:bCs/>
          <w:color w:val="auto"/>
          <w:szCs w:val="21"/>
          <w:highlight w:val="none"/>
          <w:u w:val="single"/>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w:t>
      </w:r>
    </w:p>
    <w:p w14:paraId="5A6EE09E">
      <w:pPr>
        <w:snapToGrid w:val="0"/>
        <w:spacing w:line="360" w:lineRule="auto"/>
        <w:ind w:left="552" w:leftChars="263"/>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注册号：</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w:t>
      </w:r>
    </w:p>
    <w:p w14:paraId="34CEE3E3">
      <w:pPr>
        <w:snapToGrid w:val="0"/>
        <w:spacing w:line="360" w:lineRule="auto"/>
        <w:ind w:left="552" w:leftChars="263"/>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专监工程师姓名：</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w:t>
      </w:r>
    </w:p>
    <w:p w14:paraId="34CC6056">
      <w:pPr>
        <w:snapToGrid w:val="0"/>
        <w:spacing w:line="360" w:lineRule="auto"/>
        <w:ind w:left="552" w:leftChars="263"/>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b/>
          <w:color w:val="auto"/>
          <w:szCs w:val="21"/>
          <w:highlight w:val="none"/>
          <w:u w:val="single"/>
        </w:rPr>
        <w:t xml:space="preserve">          </w:t>
      </w:r>
      <w:r>
        <w:rPr>
          <w:rFonts w:hint="eastAsia" w:ascii="宋体" w:hAnsi="宋体" w:eastAsia="宋体" w:cs="宋体"/>
          <w:b/>
          <w:bCs/>
          <w:color w:val="auto"/>
          <w:szCs w:val="21"/>
          <w:highlight w:val="none"/>
          <w:u w:val="single"/>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w:t>
      </w:r>
    </w:p>
    <w:p w14:paraId="13090062">
      <w:pPr>
        <w:snapToGrid w:val="0"/>
        <w:spacing w:line="360" w:lineRule="auto"/>
        <w:ind w:left="552" w:leftChars="263"/>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监理员</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姓名：</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w:t>
      </w:r>
    </w:p>
    <w:p w14:paraId="37503842">
      <w:pPr>
        <w:snapToGrid w:val="0"/>
        <w:spacing w:line="360" w:lineRule="auto"/>
        <w:ind w:left="552" w:leftChars="263"/>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b/>
          <w:color w:val="auto"/>
          <w:szCs w:val="21"/>
          <w:highlight w:val="none"/>
          <w:u w:val="single"/>
        </w:rPr>
        <w:t xml:space="preserve">          </w:t>
      </w:r>
      <w:r>
        <w:rPr>
          <w:rFonts w:hint="eastAsia" w:ascii="宋体" w:hAnsi="宋体" w:eastAsia="宋体" w:cs="宋体"/>
          <w:b/>
          <w:bCs/>
          <w:color w:val="auto"/>
          <w:szCs w:val="21"/>
          <w:highlight w:val="none"/>
          <w:u w:val="single"/>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w:t>
      </w:r>
    </w:p>
    <w:p w14:paraId="68C29811">
      <w:pPr>
        <w:snapToGrid w:val="0"/>
        <w:spacing w:line="360" w:lineRule="auto"/>
        <w:ind w:left="552" w:leftChars="263"/>
        <w:rPr>
          <w:rFonts w:hint="eastAsia" w:ascii="宋体" w:hAnsi="宋体" w:eastAsia="宋体" w:cs="宋体"/>
          <w:color w:val="auto"/>
          <w:szCs w:val="21"/>
          <w:highlight w:val="none"/>
        </w:rPr>
      </w:pPr>
    </w:p>
    <w:p w14:paraId="3EC690A2">
      <w:pPr>
        <w:snapToGrid w:val="0"/>
        <w:spacing w:line="360" w:lineRule="auto"/>
        <w:ind w:left="552" w:leftChars="263"/>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监理员</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姓名：</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w:t>
      </w:r>
    </w:p>
    <w:p w14:paraId="3CB514A0">
      <w:pPr>
        <w:snapToGrid w:val="0"/>
        <w:spacing w:line="360" w:lineRule="auto"/>
        <w:ind w:left="552" w:leftChars="263"/>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b/>
          <w:color w:val="auto"/>
          <w:szCs w:val="21"/>
          <w:highlight w:val="none"/>
          <w:u w:val="single"/>
        </w:rPr>
        <w:t xml:space="preserve">          </w:t>
      </w:r>
      <w:r>
        <w:rPr>
          <w:rFonts w:hint="eastAsia" w:ascii="宋体" w:hAnsi="宋体" w:eastAsia="宋体" w:cs="宋体"/>
          <w:b/>
          <w:bCs/>
          <w:color w:val="auto"/>
          <w:szCs w:val="21"/>
          <w:highlight w:val="none"/>
          <w:u w:val="single"/>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w:t>
      </w:r>
    </w:p>
    <w:p w14:paraId="55326DC9">
      <w:pPr>
        <w:snapToGrid w:val="0"/>
        <w:spacing w:line="360" w:lineRule="auto"/>
        <w:ind w:firstLine="417" w:firstLineChars="198"/>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五、签约酬金</w:t>
      </w:r>
    </w:p>
    <w:p w14:paraId="796DE205">
      <w:pPr>
        <w:spacing w:line="360" w:lineRule="auto"/>
        <w:ind w:firstLine="630" w:firstLineChars="3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签约酬金（大写）：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2987D64">
      <w:pPr>
        <w:snapToGrid w:val="0"/>
        <w:spacing w:line="360" w:lineRule="auto"/>
        <w:ind w:firstLine="625" w:firstLineChars="298"/>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包括：</w:t>
      </w:r>
    </w:p>
    <w:p w14:paraId="51B67D1D">
      <w:pPr>
        <w:snapToGrid w:val="0"/>
        <w:spacing w:line="360" w:lineRule="auto"/>
        <w:ind w:firstLine="518" w:firstLineChars="247"/>
        <w:rPr>
          <w:rFonts w:hint="eastAsia" w:ascii="宋体" w:hAnsi="宋体" w:eastAsia="宋体" w:cs="宋体"/>
          <w:color w:val="auto"/>
          <w:szCs w:val="21"/>
          <w:highlight w:val="none"/>
        </w:rPr>
      </w:pPr>
      <w:r>
        <w:rPr>
          <w:rFonts w:hint="eastAsia" w:ascii="宋体" w:hAnsi="宋体" w:eastAsia="宋体" w:cs="宋体"/>
          <w:color w:val="auto"/>
          <w:szCs w:val="21"/>
          <w:highlight w:val="none"/>
        </w:rPr>
        <w:t>1. 监理酬金：</w:t>
      </w:r>
      <w:r>
        <w:rPr>
          <w:rFonts w:hint="eastAsia" w:ascii="宋体" w:hAnsi="宋体" w:eastAsia="宋体" w:cs="宋体"/>
          <w:b/>
          <w:color w:val="auto"/>
          <w:szCs w:val="21"/>
          <w:highlight w:val="none"/>
          <w:u w:val="single"/>
        </w:rPr>
        <w:t xml:space="preserve">                       </w:t>
      </w:r>
    </w:p>
    <w:p w14:paraId="04248275">
      <w:pPr>
        <w:snapToGrid w:val="0"/>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 相关服务酬金：  </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3E9435F5">
      <w:pPr>
        <w:snapToGrid w:val="0"/>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其中：</w:t>
      </w:r>
    </w:p>
    <w:p w14:paraId="1E1CF18A">
      <w:pPr>
        <w:snapToGrid w:val="0"/>
        <w:spacing w:line="360"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（1）勘察阶段服务酬金：</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CA7FBEA">
      <w:pPr>
        <w:snapToGrid w:val="0"/>
        <w:spacing w:line="360"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（2）设计阶段服务酬金：</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215D7D5">
      <w:pPr>
        <w:snapToGrid w:val="0"/>
        <w:spacing w:line="360"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（3）保修阶段服务酬金：</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63CD0D1">
      <w:pPr>
        <w:snapToGrid w:val="0"/>
        <w:spacing w:line="360"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（4）其他相关服务酬金：</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1EFA030">
      <w:pPr>
        <w:snapToGrid w:val="0"/>
        <w:spacing w:line="360" w:lineRule="auto"/>
        <w:ind w:firstLine="417" w:firstLineChars="198"/>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六、期限</w:t>
      </w:r>
    </w:p>
    <w:p w14:paraId="6A666864">
      <w:pPr>
        <w:snapToGrid w:val="0"/>
        <w:spacing w:line="360" w:lineRule="auto"/>
        <w:ind w:firstLine="525" w:firstLineChars="2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监理期限：自</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日始，至</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日止。</w:t>
      </w:r>
    </w:p>
    <w:p w14:paraId="4F5CC69F">
      <w:pPr>
        <w:snapToGrid w:val="0"/>
        <w:spacing w:line="360" w:lineRule="auto"/>
        <w:ind w:firstLine="945" w:firstLineChars="4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暂定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日历天（最终以施工工期为准）</w:t>
      </w:r>
    </w:p>
    <w:p w14:paraId="18977B04">
      <w:pPr>
        <w:snapToGrid w:val="0"/>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相关服务期限：</w:t>
      </w:r>
    </w:p>
    <w:p w14:paraId="640A73A3">
      <w:pPr>
        <w:snapToGrid w:val="0"/>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（1）勘察阶段服务期限自</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日始，至</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日止。</w:t>
      </w:r>
    </w:p>
    <w:p w14:paraId="3C94273C">
      <w:pPr>
        <w:snapToGrid w:val="0"/>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（2）设计阶段服务期限自</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日始，至</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日止。</w:t>
      </w:r>
    </w:p>
    <w:p w14:paraId="43968A5B">
      <w:pPr>
        <w:snapToGrid w:val="0"/>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（3）保修阶段服务期限自</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日始，至</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日止。</w:t>
      </w:r>
    </w:p>
    <w:p w14:paraId="75320F82">
      <w:pPr>
        <w:snapToGrid w:val="0"/>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（4）其他相关服务期限自</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日始，至</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日止。</w:t>
      </w:r>
    </w:p>
    <w:p w14:paraId="5531B051">
      <w:pPr>
        <w:snapToGrid w:val="0"/>
        <w:spacing w:line="360" w:lineRule="auto"/>
        <w:ind w:firstLine="417" w:firstLineChars="198"/>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七、双方承诺</w:t>
      </w:r>
    </w:p>
    <w:p w14:paraId="08606307">
      <w:pPr>
        <w:snapToGrid w:val="0"/>
        <w:spacing w:line="360" w:lineRule="auto"/>
        <w:ind w:firstLine="415" w:firstLineChars="198"/>
        <w:outlineLvl w:val="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1. 监理人向委托人承诺，按照本合同约定提供监理与相关服务。</w:t>
      </w:r>
    </w:p>
    <w:p w14:paraId="2E5388F9">
      <w:pPr>
        <w:snapToGrid w:val="0"/>
        <w:spacing w:line="360" w:lineRule="auto"/>
        <w:ind w:firstLine="415" w:firstLineChars="198"/>
        <w:outlineLvl w:val="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 委托人向监理人承诺，按照本合同约定派遣相应的人员，提供</w:t>
      </w:r>
      <w:r>
        <w:rPr>
          <w:rFonts w:hint="eastAsia" w:ascii="宋体" w:hAnsi="宋体" w:eastAsia="宋体" w:cs="宋体"/>
          <w:bCs/>
          <w:color w:val="auto"/>
          <w:szCs w:val="21"/>
          <w:highlight w:val="none"/>
        </w:rPr>
        <w:t>房屋、资料</w:t>
      </w:r>
      <w:r>
        <w:rPr>
          <w:rFonts w:hint="eastAsia" w:ascii="宋体" w:hAnsi="宋体" w:eastAsia="宋体" w:cs="宋体"/>
          <w:color w:val="auto"/>
          <w:szCs w:val="21"/>
          <w:highlight w:val="none"/>
        </w:rPr>
        <w:t>、设备，并按本合同约定支付酬金。</w:t>
      </w:r>
    </w:p>
    <w:p w14:paraId="2D8814F7">
      <w:pPr>
        <w:snapToGrid w:val="0"/>
        <w:spacing w:line="360" w:lineRule="auto"/>
        <w:ind w:firstLine="417" w:firstLineChars="198"/>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八、合同订立</w:t>
      </w:r>
    </w:p>
    <w:p w14:paraId="362F7C18">
      <w:pPr>
        <w:snapToGrid w:val="0"/>
        <w:spacing w:line="360" w:lineRule="auto"/>
        <w:ind w:firstLine="415" w:firstLineChars="198"/>
        <w:rPr>
          <w:rFonts w:hint="eastAsia" w:ascii="宋体" w:hAnsi="宋体" w:eastAsia="宋体" w:cs="宋体"/>
          <w:color w:val="auto"/>
          <w:szCs w:val="21"/>
          <w:highlight w:val="none"/>
        </w:rPr>
      </w:pPr>
      <w:r>
        <w:rPr>
          <w:rFonts w:hint="eastAsia" w:ascii="宋体" w:hAnsi="宋体" w:eastAsia="宋体" w:cs="宋体"/>
          <w:color w:val="auto"/>
          <w:szCs w:val="21"/>
          <w:highlight w:val="none"/>
        </w:rPr>
        <w:t>1. 订立时间：</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日。</w:t>
      </w:r>
    </w:p>
    <w:p w14:paraId="1416B48B">
      <w:pPr>
        <w:snapToGrid w:val="0"/>
        <w:spacing w:line="360" w:lineRule="auto"/>
        <w:ind w:firstLine="415" w:firstLineChars="198"/>
        <w:rPr>
          <w:rFonts w:hint="eastAsia" w:ascii="宋体" w:hAnsi="宋体" w:eastAsia="宋体" w:cs="宋体"/>
          <w:color w:val="auto"/>
          <w:szCs w:val="21"/>
          <w:highlight w:val="none"/>
        </w:rPr>
      </w:pPr>
      <w:r>
        <w:rPr>
          <w:rFonts w:hint="eastAsia" w:ascii="宋体" w:hAnsi="宋体" w:eastAsia="宋体" w:cs="宋体"/>
          <w:color w:val="auto"/>
          <w:szCs w:val="21"/>
          <w:highlight w:val="none"/>
        </w:rPr>
        <w:t>2. 订立地点：</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w:t>
      </w:r>
    </w:p>
    <w:p w14:paraId="1F1AD5A7">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 本合同一式</w:t>
      </w:r>
      <w:r>
        <w:rPr>
          <w:rFonts w:hint="eastAsia" w:ascii="宋体" w:hAnsi="宋体" w:eastAsia="宋体" w:cs="宋体"/>
          <w:color w:val="auto"/>
          <w:szCs w:val="21"/>
          <w:highlight w:val="none"/>
          <w:u w:val="single"/>
        </w:rPr>
        <w:t xml:space="preserve"> </w:t>
      </w:r>
      <w:r>
        <w:rPr>
          <w:rFonts w:hint="eastAsia" w:ascii="宋体" w:hAnsi="宋体" w:cs="宋体"/>
          <w:b/>
          <w:color w:val="auto"/>
          <w:szCs w:val="21"/>
          <w:highlight w:val="none"/>
          <w:u w:val="single"/>
          <w:lang w:val="en-US" w:eastAsia="zh-CN"/>
        </w:rPr>
        <w:t>肆</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份，具有同等法律效力，甲方</w:t>
      </w:r>
      <w:r>
        <w:rPr>
          <w:rFonts w:hint="eastAsia" w:ascii="宋体" w:hAnsi="宋体" w:cs="宋体"/>
          <w:color w:val="auto"/>
          <w:szCs w:val="21"/>
          <w:highlight w:val="none"/>
          <w:lang w:val="en-US" w:eastAsia="zh-CN"/>
        </w:rPr>
        <w:t>贰</w:t>
      </w:r>
      <w:r>
        <w:rPr>
          <w:rFonts w:hint="eastAsia" w:ascii="宋体" w:hAnsi="宋体" w:eastAsia="宋体" w:cs="宋体"/>
          <w:color w:val="auto"/>
          <w:szCs w:val="21"/>
          <w:highlight w:val="none"/>
        </w:rPr>
        <w:t>份，乙方贰份。</w:t>
      </w:r>
    </w:p>
    <w:p w14:paraId="58639AAB">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委托人：</w:t>
      </w:r>
      <w:r>
        <w:rPr>
          <w:rFonts w:hint="eastAsia" w:ascii="宋体" w:hAnsi="宋体" w:eastAsia="宋体" w:cs="宋体"/>
          <w:color w:val="auto"/>
          <w:szCs w:val="21"/>
          <w:highlight w:val="none"/>
          <w:u w:val="single"/>
        </w:rPr>
        <w:t xml:space="preserve">   （盖章）     </w:t>
      </w:r>
      <w:r>
        <w:rPr>
          <w:rFonts w:hint="eastAsia" w:ascii="宋体" w:hAnsi="宋体" w:eastAsia="宋体" w:cs="宋体"/>
          <w:color w:val="auto"/>
          <w:szCs w:val="21"/>
          <w:highlight w:val="none"/>
        </w:rPr>
        <w:t xml:space="preserve">        监理人：</w:t>
      </w:r>
      <w:r>
        <w:rPr>
          <w:rFonts w:hint="eastAsia" w:ascii="宋体" w:hAnsi="宋体" w:eastAsia="宋体" w:cs="宋体"/>
          <w:color w:val="auto"/>
          <w:szCs w:val="21"/>
          <w:highlight w:val="none"/>
          <w:u w:val="single"/>
        </w:rPr>
        <w:t xml:space="preserve">   （盖章）    </w:t>
      </w:r>
    </w:p>
    <w:p w14:paraId="2369337D">
      <w:pPr>
        <w:spacing w:line="5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住所： </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 xml:space="preserve">        住所：</w:t>
      </w:r>
      <w:r>
        <w:rPr>
          <w:rFonts w:hint="eastAsia" w:ascii="宋体" w:hAnsi="宋体" w:eastAsia="宋体" w:cs="宋体"/>
          <w:color w:val="auto"/>
          <w:szCs w:val="21"/>
          <w:highlight w:val="none"/>
          <w:u w:val="single"/>
        </w:rPr>
        <w:t xml:space="preserve">                      </w:t>
      </w:r>
    </w:p>
    <w:p w14:paraId="6DAB2CCA">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邮政编码：</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 xml:space="preserve">     </w:t>
      </w:r>
    </w:p>
    <w:p w14:paraId="60896B52">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法定代表人或其授权              法定代表人或其授权</w:t>
      </w:r>
    </w:p>
    <w:p w14:paraId="7D885D42">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的代理人：</w:t>
      </w:r>
      <w:r>
        <w:rPr>
          <w:rFonts w:hint="eastAsia" w:ascii="宋体" w:hAnsi="宋体" w:eastAsia="宋体" w:cs="宋体"/>
          <w:color w:val="auto"/>
          <w:szCs w:val="21"/>
          <w:highlight w:val="none"/>
          <w:u w:val="single"/>
        </w:rPr>
        <w:t xml:space="preserve">（签字）      </w:t>
      </w:r>
      <w:r>
        <w:rPr>
          <w:rFonts w:hint="eastAsia" w:ascii="宋体" w:hAnsi="宋体" w:eastAsia="宋体" w:cs="宋体"/>
          <w:color w:val="auto"/>
          <w:szCs w:val="21"/>
          <w:highlight w:val="none"/>
        </w:rPr>
        <w:t xml:space="preserve">         的代理人：</w:t>
      </w:r>
      <w:r>
        <w:rPr>
          <w:rFonts w:hint="eastAsia" w:ascii="宋体" w:hAnsi="宋体" w:eastAsia="宋体" w:cs="宋体"/>
          <w:color w:val="auto"/>
          <w:szCs w:val="21"/>
          <w:highlight w:val="none"/>
          <w:u w:val="single"/>
        </w:rPr>
        <w:t xml:space="preserve">（签字）          </w:t>
      </w:r>
    </w:p>
    <w:p w14:paraId="0375DEAA">
      <w:pPr>
        <w:spacing w:line="500" w:lineRule="exact"/>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rPr>
        <w:t>开户银行：</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 xml:space="preserve">     开户银行：</w:t>
      </w:r>
      <w:r>
        <w:rPr>
          <w:rFonts w:hint="eastAsia" w:ascii="宋体" w:hAnsi="宋体" w:eastAsia="宋体" w:cs="宋体"/>
          <w:b/>
          <w:color w:val="auto"/>
          <w:szCs w:val="21"/>
          <w:highlight w:val="none"/>
          <w:u w:val="single"/>
        </w:rPr>
        <w:t xml:space="preserve">                     </w:t>
      </w:r>
    </w:p>
    <w:p w14:paraId="04CC8212">
      <w:pPr>
        <w:spacing w:line="5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账号：</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 xml:space="preserve">      账号：</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 xml:space="preserve"> </w:t>
      </w:r>
    </w:p>
    <w:p w14:paraId="28965F31">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 xml:space="preserve">     电话：</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 xml:space="preserve">         </w:t>
      </w:r>
    </w:p>
    <w:p w14:paraId="616E82D3">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传真：</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 xml:space="preserve">           </w:t>
      </w:r>
    </w:p>
    <w:p w14:paraId="253F71FA">
      <w:pPr>
        <w:spacing w:line="500" w:lineRule="exact"/>
        <w:rPr>
          <w:rFonts w:hint="eastAsia" w:ascii="宋体" w:hAnsi="宋体" w:eastAsia="宋体" w:cs="宋体"/>
          <w:b/>
          <w:color w:val="auto"/>
          <w:sz w:val="32"/>
          <w:szCs w:val="32"/>
          <w:highlight w:val="none"/>
        </w:rPr>
      </w:pPr>
      <w:r>
        <w:rPr>
          <w:rFonts w:hint="eastAsia" w:ascii="宋体" w:hAnsi="宋体" w:eastAsia="宋体" w:cs="宋体"/>
          <w:color w:val="auto"/>
          <w:szCs w:val="21"/>
          <w:highlight w:val="none"/>
        </w:rPr>
        <w:t>电子邮箱：</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 xml:space="preserve">      电子邮箱：</w:t>
      </w:r>
      <w:r>
        <w:rPr>
          <w:rFonts w:hint="eastAsia" w:ascii="宋体" w:hAnsi="宋体" w:eastAsia="宋体" w:cs="宋体"/>
          <w:b/>
          <w:color w:val="auto"/>
          <w:szCs w:val="21"/>
          <w:highlight w:val="none"/>
          <w:u w:val="single"/>
        </w:rPr>
        <w:t xml:space="preserve">                     </w:t>
      </w:r>
    </w:p>
    <w:p w14:paraId="5D953A2F">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见证方：</w:t>
      </w:r>
    </w:p>
    <w:p w14:paraId="1CE9F3C0">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w:t>
      </w:r>
    </w:p>
    <w:p w14:paraId="3F8DC750">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盖章：</w:t>
      </w:r>
    </w:p>
    <w:p w14:paraId="7E86BB3A">
      <w:pPr>
        <w:tabs>
          <w:tab w:val="right" w:pos="8486"/>
        </w:tabs>
        <w:spacing w:line="400" w:lineRule="exact"/>
        <w:ind w:firstLine="643" w:firstLineChars="200"/>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第二部分  通用条件</w:t>
      </w:r>
    </w:p>
    <w:p w14:paraId="63E2D61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2" w:firstLineChars="200"/>
        <w:textAlignment w:val="auto"/>
        <w:rPr>
          <w:rFonts w:hint="eastAsia" w:ascii="宋体" w:hAnsi="宋体" w:eastAsia="宋体" w:cs="宋体"/>
          <w:b/>
          <w:color w:val="auto"/>
          <w:sz w:val="22"/>
          <w:szCs w:val="24"/>
          <w:highlight w:val="none"/>
        </w:rPr>
      </w:pPr>
      <w:bookmarkStart w:id="147" w:name="_Toc398107909"/>
      <w:r>
        <w:rPr>
          <w:rFonts w:hint="eastAsia" w:ascii="宋体" w:hAnsi="宋体" w:eastAsia="宋体" w:cs="宋体"/>
          <w:b/>
          <w:color w:val="auto"/>
          <w:sz w:val="22"/>
          <w:szCs w:val="24"/>
          <w:highlight w:val="none"/>
        </w:rPr>
        <w:t>1. 定义与解释</w:t>
      </w:r>
    </w:p>
    <w:p w14:paraId="0E69168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 xml:space="preserve">1.1 </w:t>
      </w:r>
      <w:r>
        <w:rPr>
          <w:rFonts w:hint="eastAsia" w:ascii="宋体" w:hAnsi="宋体" w:eastAsia="宋体" w:cs="宋体"/>
          <w:bCs/>
          <w:color w:val="auto"/>
          <w:szCs w:val="21"/>
          <w:highlight w:val="none"/>
        </w:rPr>
        <w:t>定义</w:t>
      </w:r>
    </w:p>
    <w:p w14:paraId="44F9000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除根据上下文另有其意义外，组成本合同的全部文件中的下列名词和用语应具有本款所赋予的含义：</w:t>
      </w:r>
    </w:p>
    <w:p w14:paraId="5487D75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 “工程”是指按照本合同约定实施监理与相关服务的建设工程。</w:t>
      </w:r>
    </w:p>
    <w:p w14:paraId="0FE2EE5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 “委托人”是指本合同中委托监理与相关服务的一方，及其合法的继承人或受让人。</w:t>
      </w:r>
    </w:p>
    <w:p w14:paraId="4A82A99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 “监理人”是指本合同中提供监理与相关服务的一方，及其合法的继承人。</w:t>
      </w:r>
    </w:p>
    <w:p w14:paraId="199798C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 “承包人”是指在工程范围内与委托人签订勘察、设计、施工等有关合同的当事人，及其合法的继承人。</w:t>
      </w:r>
    </w:p>
    <w:p w14:paraId="1F28B9A6">
      <w:pPr>
        <w:pStyle w:val="2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0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721FA0B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1.1.6 “相关服务”是指监理人受委托人的委托 ，按照本合同约定，在勘察、设计、保修等阶段提供的服务活动。</w:t>
      </w:r>
    </w:p>
    <w:p w14:paraId="5C47E28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1.1.7 “正常工作”指本合同订立时通用条件和专用条件中约定的监理人的工作。</w:t>
      </w:r>
    </w:p>
    <w:p w14:paraId="23BD2B2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1.1.8 “附加工作”是指本合同约定的正常工作以外监理人的工作。</w:t>
      </w:r>
    </w:p>
    <w:p w14:paraId="112902B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1.1.9 “项目监理机构”是指监理人派驻工程负责履行本合同的组织机构。</w:t>
      </w:r>
    </w:p>
    <w:p w14:paraId="698EBF5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1.1.10 “总监理工程师”是指由监理人的法定代表人书面授权，全面负责履行本合同、主持项目监理机构工作的注册监理工程师。</w:t>
      </w:r>
    </w:p>
    <w:p w14:paraId="5B4D624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1.1.11 “酬金”是指监理人履行本合同义务，委托人按照本合同约定给付监理人的金额。</w:t>
      </w:r>
    </w:p>
    <w:p w14:paraId="1320FD9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1.1.12 “正常工作</w:t>
      </w:r>
      <w:r>
        <w:rPr>
          <w:rFonts w:hint="eastAsia" w:ascii="宋体" w:hAnsi="宋体" w:eastAsia="宋体" w:cs="宋体"/>
          <w:color w:val="auto"/>
          <w:kern w:val="0"/>
          <w:szCs w:val="21"/>
          <w:highlight w:val="none"/>
        </w:rPr>
        <w:t>酬金”</w:t>
      </w:r>
      <w:r>
        <w:rPr>
          <w:rFonts w:hint="eastAsia" w:ascii="宋体" w:hAnsi="宋体" w:eastAsia="宋体" w:cs="宋体"/>
          <w:color w:val="auto"/>
          <w:szCs w:val="21"/>
          <w:highlight w:val="none"/>
        </w:rPr>
        <w:t>是指监理人完成正常工作，委托人应给付监理人并在协议书中载明的签约</w:t>
      </w:r>
      <w:r>
        <w:rPr>
          <w:rFonts w:hint="eastAsia" w:ascii="宋体" w:hAnsi="宋体" w:eastAsia="宋体" w:cs="宋体"/>
          <w:color w:val="auto"/>
          <w:kern w:val="0"/>
          <w:szCs w:val="21"/>
          <w:highlight w:val="none"/>
        </w:rPr>
        <w:t>酬金额</w:t>
      </w:r>
      <w:r>
        <w:rPr>
          <w:rFonts w:hint="eastAsia" w:ascii="宋体" w:hAnsi="宋体" w:eastAsia="宋体" w:cs="宋体"/>
          <w:color w:val="auto"/>
          <w:szCs w:val="21"/>
          <w:highlight w:val="none"/>
        </w:rPr>
        <w:t>。</w:t>
      </w:r>
    </w:p>
    <w:p w14:paraId="47EBB4F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1.1.13 “附加工作酬金”是指监理人完成附加工作，委托人应给付监理人的金额。</w:t>
      </w:r>
    </w:p>
    <w:p w14:paraId="410DC32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1.1.14 “一方”是指委托人或监理人；“双方”是指委托人和监理人；“第三方”是指除委托人和监理人以外的有关方。</w:t>
      </w:r>
    </w:p>
    <w:p w14:paraId="4365EC8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1.1.15 “书面形式”是指合同书、信件和数据电文（包括电报、电传、传真、电子数据交换和电子邮件）等可以有形地表现所载内容的形式。</w:t>
      </w:r>
    </w:p>
    <w:p w14:paraId="596A757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1.1.16 “天”是指第一天零时至第二天零时的时间。</w:t>
      </w:r>
    </w:p>
    <w:p w14:paraId="65EE376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1.1.17“月”是指按公历从一个月中任何一天开始的一个公历月时间。</w:t>
      </w:r>
    </w:p>
    <w:p w14:paraId="6389A59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1.1.18 “不可抗力”是指委托人和监理人在订立本合同时不可预见，在工程施工过程中不可避免发生并不能克服的自然灾害和社会性突发事件，如地震、海啸、瘟疫、水灾、骚乱、暴动、战争和专用条件约定的其他情形。</w:t>
      </w:r>
    </w:p>
    <w:p w14:paraId="4C1F831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 xml:space="preserve">1.2 </w:t>
      </w:r>
      <w:r>
        <w:rPr>
          <w:rFonts w:hint="eastAsia" w:ascii="宋体" w:hAnsi="宋体" w:eastAsia="宋体" w:cs="宋体"/>
          <w:color w:val="auto"/>
          <w:szCs w:val="21"/>
          <w:highlight w:val="none"/>
        </w:rPr>
        <w:t>解释</w:t>
      </w:r>
    </w:p>
    <w:p w14:paraId="3E644384">
      <w:pPr>
        <w:keepNext w:val="0"/>
        <w:keepLines w:val="0"/>
        <w:pageBreakBefore w:val="0"/>
        <w:widowControl w:val="0"/>
        <w:shd w:val="clear" w:color="auto" w:fill="auto"/>
        <w:tabs>
          <w:tab w:val="left" w:pos="61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1.2.1本合同使用中文书写、解释和说明。如专用条件约定使用两种及以上语言文字时，应以中文为准。</w:t>
      </w:r>
    </w:p>
    <w:p w14:paraId="7F8E4270">
      <w:pPr>
        <w:keepNext w:val="0"/>
        <w:keepLines w:val="0"/>
        <w:pageBreakBefore w:val="0"/>
        <w:widowControl w:val="0"/>
        <w:shd w:val="clear" w:color="auto" w:fill="auto"/>
        <w:tabs>
          <w:tab w:val="left" w:pos="61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 组成本合同的下列文件彼此应能相互解释、互为说明。除专用条件另有约定外，本合同文件的解释顺序如下：</w:t>
      </w:r>
    </w:p>
    <w:p w14:paraId="7A824F1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（1）协议书；</w:t>
      </w:r>
    </w:p>
    <w:p w14:paraId="0B638D1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（2）中标通知书（适用于招标工程）或委托书（适用于非招标工程）；</w:t>
      </w:r>
    </w:p>
    <w:p w14:paraId="37E6D7F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（3）专用条件及附录A、附录B；</w:t>
      </w:r>
    </w:p>
    <w:p w14:paraId="5D5F7C2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（4）通用条件；</w:t>
      </w:r>
    </w:p>
    <w:p w14:paraId="5BC9452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（5）投标文件（适用于招标工程）或监理与相关服务建议书（适用于非招标工程）。</w:t>
      </w:r>
    </w:p>
    <w:p w14:paraId="2A37779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双方签订的补充协议与其他文件发生矛盾或歧义时，属于同一类内容的文件，应以最新签署的为准。</w:t>
      </w:r>
    </w:p>
    <w:p w14:paraId="4592D88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2" w:firstLineChars="200"/>
        <w:textAlignment w:val="auto"/>
        <w:rPr>
          <w:rFonts w:hint="eastAsia" w:ascii="宋体" w:hAnsi="宋体" w:eastAsia="宋体" w:cs="宋体"/>
          <w:b/>
          <w:color w:val="auto"/>
          <w:sz w:val="22"/>
          <w:szCs w:val="24"/>
          <w:highlight w:val="none"/>
        </w:rPr>
      </w:pPr>
      <w:r>
        <w:rPr>
          <w:rFonts w:hint="eastAsia" w:ascii="宋体" w:hAnsi="宋体" w:eastAsia="宋体" w:cs="宋体"/>
          <w:b/>
          <w:color w:val="auto"/>
          <w:sz w:val="22"/>
          <w:szCs w:val="24"/>
          <w:highlight w:val="none"/>
        </w:rPr>
        <w:t>2. 监理人的义务</w:t>
      </w:r>
    </w:p>
    <w:p w14:paraId="3F96257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2.1 监理的范围和工作内容</w:t>
      </w:r>
    </w:p>
    <w:p w14:paraId="467EFBC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 监理范围在专用条件中约定。</w:t>
      </w:r>
    </w:p>
    <w:p w14:paraId="399A767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 除专用条件另有约定外，监理工作内容包括：</w:t>
      </w:r>
    </w:p>
    <w:p w14:paraId="3E7BC14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（1）收到工程设计文件后编制监理规划，并在第一次工地会议7天前报委托人。根据有关规定和监理工作需要，编制监理实施细则；</w:t>
      </w:r>
    </w:p>
    <w:p w14:paraId="5B395E9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（2）熟悉工程设计文件，并参加由委托人主持的图纸会审和设计交底会议；</w:t>
      </w:r>
    </w:p>
    <w:p w14:paraId="5519D25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（3）参加由委托人主持的第一次工地会议；主持监理例会并根据工程需要主持或参加专题会议；</w:t>
      </w:r>
    </w:p>
    <w:p w14:paraId="1E8F745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（4）审查施工承包人提交的施工组织设计，重点审查其中的质量安全技术措施、专项施工方案与工程建设强制性标准的符合性；</w:t>
      </w:r>
    </w:p>
    <w:p w14:paraId="1C493E6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（5）检查施工承包人工程质量、安全生产管理制度及组织机构和人员资格； </w:t>
      </w:r>
    </w:p>
    <w:p w14:paraId="37A5BD9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（6）检查施工承包人专职安全生产管理人员的配备情况；</w:t>
      </w:r>
    </w:p>
    <w:p w14:paraId="411EBA1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（7）审查施工承包人提交的施工进度计划，核查承包人对施工进度计划的调整；</w:t>
      </w:r>
    </w:p>
    <w:p w14:paraId="78E21BD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（8）检查施工承包人的试验室；</w:t>
      </w:r>
    </w:p>
    <w:p w14:paraId="6395E63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（9）审核施工分包人资质条件；</w:t>
      </w:r>
    </w:p>
    <w:p w14:paraId="5BA044D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（10）查验施工承包人的施工测量放线成果；</w:t>
      </w:r>
    </w:p>
    <w:p w14:paraId="0EE5226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（11）审查工程开工条件，对条件具备的签发开工令；</w:t>
      </w:r>
    </w:p>
    <w:p w14:paraId="6006AE9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（12）审查施工承包人报送的工程材料、构配件、设备质量证明文件的有效性和符合性，并按规定对用于工程的材料采取平行检验或见证取样方式进行抽检；</w:t>
      </w:r>
    </w:p>
    <w:p w14:paraId="1523495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（13）审核施工承包人提交的工程款支付申请，签发或出具工程款支付证书，并报委托人审核、批准；</w:t>
      </w:r>
    </w:p>
    <w:p w14:paraId="092AA60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（14）在巡视、旁站和检验过程中，发现工程质量、施工安全存在事故隐患的，要求施工承包人整改并报委托人；</w:t>
      </w:r>
    </w:p>
    <w:p w14:paraId="4DEF836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（15）经委托人同意，签发工程暂停令和复工令；</w:t>
      </w:r>
    </w:p>
    <w:p w14:paraId="7B66ADD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（16）审查施工承包人提交的采用新材料、新工艺、新技术、新设备的论证材料及相关验收标准；</w:t>
      </w:r>
    </w:p>
    <w:p w14:paraId="2BFA5B4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（17）验收隐蔽工程、分部分项工程；</w:t>
      </w:r>
    </w:p>
    <w:p w14:paraId="28BBF8B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（18）审查施工承包人提交的工程变更申请，协调处理施工进度调整、费用索赔、合同争议等事项；</w:t>
      </w:r>
    </w:p>
    <w:p w14:paraId="3E1292E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（19）审查施工承包人提交的竣工验收申请，编写工程质量评估报告；</w:t>
      </w:r>
    </w:p>
    <w:p w14:paraId="5A8B13A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（20）参加工程竣工验收，签署竣工验收意见；</w:t>
      </w:r>
    </w:p>
    <w:p w14:paraId="6CDD128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（21）审查施工承包人提交的竣工结算申请并报委托人；</w:t>
      </w:r>
    </w:p>
    <w:p w14:paraId="12F7342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（22）编制、整理工程监理归档文件并报委托人。</w:t>
      </w:r>
    </w:p>
    <w:p w14:paraId="5A2459C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 相关服务的范围和内容在附录A中约定。</w:t>
      </w:r>
    </w:p>
    <w:p w14:paraId="58D2B10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 xml:space="preserve">2.2 </w:t>
      </w:r>
      <w:r>
        <w:rPr>
          <w:rFonts w:hint="eastAsia" w:ascii="宋体" w:hAnsi="宋体" w:eastAsia="宋体" w:cs="宋体"/>
          <w:bCs/>
          <w:color w:val="auto"/>
          <w:szCs w:val="21"/>
          <w:highlight w:val="none"/>
        </w:rPr>
        <w:t>监理与相关服务依据</w:t>
      </w:r>
    </w:p>
    <w:p w14:paraId="4226348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 监理依据包括：</w:t>
      </w:r>
    </w:p>
    <w:p w14:paraId="73CB584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（1）适用的法律、行政法规及部门规章；</w:t>
      </w:r>
    </w:p>
    <w:p w14:paraId="231AAC6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（2）与工程有关的标准；</w:t>
      </w:r>
    </w:p>
    <w:p w14:paraId="1902F3F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（3）工程设计及有关文件；</w:t>
      </w:r>
    </w:p>
    <w:p w14:paraId="35A56AB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（4）本合同及委托人与第三方签订的与实施工程有关的其他合同。</w:t>
      </w:r>
    </w:p>
    <w:p w14:paraId="6CB8C50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双方根据工程的行业和地域特点，在专用条件中具体约定监理依据。</w:t>
      </w:r>
    </w:p>
    <w:p w14:paraId="1055D44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 相关服务依据在专用条件中约定。</w:t>
      </w:r>
    </w:p>
    <w:p w14:paraId="4F02689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项目监理机构和人员</w:t>
      </w:r>
    </w:p>
    <w:p w14:paraId="5469027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2.3.1 监理人应组建满足工作需要的项目监理机构，配备必要的检测设备。项目监理机构的主要人员应具有相应的资格条件。</w:t>
      </w:r>
    </w:p>
    <w:p w14:paraId="325C0BA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2.3.2本合同履行过程中，总监理工程师及重要岗位监理人员应保持相对稳定，以保证监理工作正常进行。</w:t>
      </w:r>
    </w:p>
    <w:p w14:paraId="06AED85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36BF768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2.3.4 监理人应及时更换有下列情形之一的监理人员：</w:t>
      </w:r>
    </w:p>
    <w:p w14:paraId="194CFAB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（1）严重过失行为的；</w:t>
      </w:r>
    </w:p>
    <w:p w14:paraId="5E1E622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（2）有违法行为不能履行职责的；</w:t>
      </w:r>
    </w:p>
    <w:p w14:paraId="1D3DE94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（3）涉嫌犯罪的；</w:t>
      </w:r>
    </w:p>
    <w:p w14:paraId="6137C5C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（4）不能胜任岗位职责的；</w:t>
      </w:r>
    </w:p>
    <w:p w14:paraId="45AC5B0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（5）严重违反职业道德的；</w:t>
      </w:r>
    </w:p>
    <w:p w14:paraId="1C3B92A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（6）专用条件约定的其他情形。</w:t>
      </w:r>
    </w:p>
    <w:p w14:paraId="26AF18A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2.3.5 委托人可要求监理人更换不能胜任本职工作的项目监理机构人员。</w:t>
      </w:r>
    </w:p>
    <w:p w14:paraId="06DAD49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 履行职责</w:t>
      </w:r>
    </w:p>
    <w:p w14:paraId="6BDBD06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监理人应遵循职业道德准则和行为规范，严格按照法律法规、工程建设有关标准及本合同履行职责。</w:t>
      </w:r>
    </w:p>
    <w:p w14:paraId="7F86CD7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2.4.1 在监理与相关服务范围内，委托人和承包人提出的意见和要求，监理人应及时提出处置意见。当委托人与承包人之间发生合同争议时，监理人应协助委托人、承包人协商解决。</w:t>
      </w:r>
    </w:p>
    <w:p w14:paraId="70F233B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2.4.2 当委托人与承包人之间的合同争议提交仲裁机构仲裁或人民法院审理时，监理人应提供必要的证明资料。</w:t>
      </w:r>
    </w:p>
    <w:p w14:paraId="021A6F9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2.4.3 监理人应在专用条件约定的授权范围内，处理委托人与承包人所签订合同的变更事宜。如果变更超过授权范围，应以书面形式报委托人批准。</w:t>
      </w:r>
    </w:p>
    <w:p w14:paraId="256AA1D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在紧急情况下，为了保护财产和人身安全，监理人所发出的指令未能事先报委托人批准时，应在发出指令后的24小时内以书面形式报委托人。</w:t>
      </w:r>
    </w:p>
    <w:p w14:paraId="72B3D23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2.4.4 除专用条件另有约定外，监理人发现承包人的人员不能胜任本职工作的，有权要求承包人予以调换。</w:t>
      </w:r>
    </w:p>
    <w:p w14:paraId="234395B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 提交报告</w:t>
      </w:r>
    </w:p>
    <w:p w14:paraId="5DC0B83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监理人应按专用条件约定的种类、时间和份数向委托人提交监理与相关服务的报告。</w:t>
      </w:r>
    </w:p>
    <w:p w14:paraId="6200502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2.6 文件资料</w:t>
      </w:r>
    </w:p>
    <w:p w14:paraId="1493BE4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在本合同履行期内，监理人应在现场保留工作所用的图纸、报告及记录监理工</w:t>
      </w:r>
      <w:r>
        <w:rPr>
          <w:rFonts w:hint="eastAsia" w:ascii="宋体" w:hAnsi="宋体" w:eastAsia="宋体" w:cs="宋体"/>
          <w:color w:val="auto"/>
          <w:szCs w:val="21"/>
          <w:highlight w:val="none"/>
        </w:rPr>
        <w:t>作的相关文件。工程竣工后，应当按照档案管理规定将监理有关文件归档。</w:t>
      </w:r>
    </w:p>
    <w:p w14:paraId="0C1274E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 使用委托人的财产</w:t>
      </w:r>
    </w:p>
    <w:p w14:paraId="3F4B1E1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533F720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2" w:firstLineChars="200"/>
        <w:textAlignment w:val="auto"/>
        <w:rPr>
          <w:rFonts w:hint="eastAsia" w:ascii="宋体" w:hAnsi="宋体" w:eastAsia="宋体" w:cs="宋体"/>
          <w:b/>
          <w:color w:val="auto"/>
          <w:sz w:val="22"/>
          <w:szCs w:val="24"/>
          <w:highlight w:val="none"/>
        </w:rPr>
      </w:pPr>
      <w:r>
        <w:rPr>
          <w:rFonts w:hint="eastAsia" w:ascii="宋体" w:hAnsi="宋体" w:eastAsia="宋体" w:cs="宋体"/>
          <w:b/>
          <w:color w:val="auto"/>
          <w:sz w:val="22"/>
          <w:szCs w:val="24"/>
          <w:highlight w:val="none"/>
          <w:lang w:val="en-US" w:eastAsia="zh-CN"/>
        </w:rPr>
        <w:t>3.</w:t>
      </w:r>
      <w:r>
        <w:rPr>
          <w:rFonts w:hint="eastAsia" w:ascii="宋体" w:hAnsi="宋体" w:eastAsia="宋体" w:cs="宋体"/>
          <w:b/>
          <w:color w:val="auto"/>
          <w:sz w:val="22"/>
          <w:szCs w:val="24"/>
          <w:highlight w:val="none"/>
        </w:rPr>
        <w:t>委托人的义务</w:t>
      </w:r>
    </w:p>
    <w:p w14:paraId="1E6D9D2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告知</w:t>
      </w:r>
    </w:p>
    <w:p w14:paraId="64EF298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委托人应在委托人与承包人签订的合同中明确监理人、总监理工程师和授予项目监理机构的权限。如有变更，应及时通知承包人。</w:t>
      </w:r>
    </w:p>
    <w:p w14:paraId="6A6DBE9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提供资料</w:t>
      </w:r>
    </w:p>
    <w:p w14:paraId="21B0752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委托人应按照附录B约定，无偿向监理人提供工程有关的资料。</w:t>
      </w:r>
      <w:r>
        <w:rPr>
          <w:rFonts w:hint="eastAsia" w:ascii="宋体" w:hAnsi="宋体" w:eastAsia="宋体" w:cs="宋体"/>
          <w:color w:val="auto"/>
          <w:szCs w:val="21"/>
          <w:highlight w:val="none"/>
        </w:rPr>
        <w:t>在本合同履行过程中，委托人应及时向监理人提供最新的与工程有关的资料。</w:t>
      </w:r>
    </w:p>
    <w:p w14:paraId="66E8009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 提供工作条件</w:t>
      </w:r>
    </w:p>
    <w:p w14:paraId="376CDED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委托人应为监理人完成监理与相关服务提供必要的条件。</w:t>
      </w:r>
    </w:p>
    <w:p w14:paraId="4FBF490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3.3.1 </w:t>
      </w:r>
      <w:r>
        <w:rPr>
          <w:rFonts w:hint="eastAsia" w:ascii="宋体" w:hAnsi="宋体" w:eastAsia="宋体" w:cs="宋体"/>
          <w:color w:val="auto"/>
          <w:szCs w:val="21"/>
          <w:highlight w:val="none"/>
        </w:rPr>
        <w:t>委托人应按照附录B约定，派遣相应的人员，提供房屋、设备，供监理人</w:t>
      </w:r>
      <w:r>
        <w:rPr>
          <w:rFonts w:hint="eastAsia" w:ascii="宋体" w:hAnsi="宋体" w:eastAsia="宋体" w:cs="宋体"/>
          <w:color w:val="auto"/>
          <w:kern w:val="0"/>
          <w:szCs w:val="21"/>
          <w:highlight w:val="none"/>
        </w:rPr>
        <w:t>无偿</w:t>
      </w:r>
      <w:r>
        <w:rPr>
          <w:rFonts w:hint="eastAsia" w:ascii="宋体" w:hAnsi="宋体" w:eastAsia="宋体" w:cs="宋体"/>
          <w:color w:val="auto"/>
          <w:szCs w:val="21"/>
          <w:highlight w:val="none"/>
        </w:rPr>
        <w:t>使用。</w:t>
      </w:r>
    </w:p>
    <w:p w14:paraId="156D077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3.3.2 </w:t>
      </w:r>
      <w:r>
        <w:rPr>
          <w:rFonts w:hint="eastAsia" w:ascii="宋体" w:hAnsi="宋体" w:eastAsia="宋体" w:cs="宋体"/>
          <w:color w:val="auto"/>
          <w:szCs w:val="21"/>
          <w:highlight w:val="none"/>
        </w:rPr>
        <w:t>委托人应负责协调工程建设中所有外部关系，为监理人履行本合同提供必要的外部条件。</w:t>
      </w:r>
    </w:p>
    <w:p w14:paraId="3E2999F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3.4 委托人代表</w:t>
      </w:r>
    </w:p>
    <w:p w14:paraId="13FE3EA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委托人应授权一名熟悉工程情况的代表，负责与监理人联系。委托人应在双方签订本合同后7天内，将委托人代表的姓名和职责书面告知监理人。当委托人更换委托人代表时，应提前7天通知监理人。</w:t>
      </w:r>
    </w:p>
    <w:p w14:paraId="4B301B6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 委托人意见或要求</w:t>
      </w:r>
    </w:p>
    <w:p w14:paraId="1685EB1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在本合同约定的监理与相关服务工作范围内，委托人对承包人的任何意见或要求应通知监理人，由监理人向承包人发出相应指令。</w:t>
      </w:r>
    </w:p>
    <w:p w14:paraId="5E760DF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 答复</w:t>
      </w:r>
    </w:p>
    <w:p w14:paraId="720AF61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委托人应在专用条件约定的时间内，对监理人以书面形式提交并要求作出决定的事宜，给予书面答复。逾期未答复的，视为委托人认可。</w:t>
      </w:r>
    </w:p>
    <w:p w14:paraId="22EF732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 支付</w:t>
      </w:r>
    </w:p>
    <w:p w14:paraId="6222CD0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委托人应按本合同约定，向监理人支付酬金。</w:t>
      </w:r>
    </w:p>
    <w:p w14:paraId="634E7A7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2" w:firstLineChars="200"/>
        <w:textAlignment w:val="auto"/>
        <w:rPr>
          <w:rFonts w:hint="eastAsia" w:ascii="宋体" w:hAnsi="宋体" w:eastAsia="宋体" w:cs="宋体"/>
          <w:b/>
          <w:color w:val="auto"/>
          <w:sz w:val="22"/>
          <w:szCs w:val="24"/>
          <w:highlight w:val="none"/>
        </w:rPr>
      </w:pPr>
      <w:r>
        <w:rPr>
          <w:rFonts w:hint="eastAsia" w:ascii="宋体" w:hAnsi="宋体" w:eastAsia="宋体" w:cs="宋体"/>
          <w:b/>
          <w:color w:val="auto"/>
          <w:sz w:val="22"/>
          <w:szCs w:val="24"/>
          <w:highlight w:val="none"/>
        </w:rPr>
        <w:t>4. 违约责任</w:t>
      </w:r>
    </w:p>
    <w:p w14:paraId="1D28BCB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 监理人的违约责任</w:t>
      </w:r>
    </w:p>
    <w:p w14:paraId="6BDB137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监理人未履行本合同义务的，应承担相应的责任。</w:t>
      </w:r>
    </w:p>
    <w:p w14:paraId="7D1ECB1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4.1.1 因监理人违反本合同约定</w:t>
      </w:r>
      <w:r>
        <w:rPr>
          <w:rFonts w:hint="eastAsia" w:ascii="宋体" w:hAnsi="宋体" w:eastAsia="宋体" w:cs="宋体"/>
          <w:color w:val="auto"/>
          <w:szCs w:val="21"/>
          <w:highlight w:val="none"/>
        </w:rPr>
        <w:t>给委托人造成损失的，监理人应当赔偿委托人损失</w:t>
      </w:r>
      <w:r>
        <w:rPr>
          <w:rFonts w:hint="eastAsia" w:ascii="宋体" w:hAnsi="宋体" w:eastAsia="宋体" w:cs="宋体"/>
          <w:color w:val="auto"/>
          <w:kern w:val="0"/>
          <w:szCs w:val="21"/>
          <w:highlight w:val="none"/>
        </w:rPr>
        <w:t>。赔偿金额的确定方法在专用条件中约定。监理人承担部分赔偿责任的，其承担赔偿金额由双方协商确定。</w:t>
      </w:r>
    </w:p>
    <w:p w14:paraId="7050B17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4.1.2 监理人向委托人的索赔不成立时，监理人应赔偿委托人由此发生的费用。</w:t>
      </w:r>
    </w:p>
    <w:p w14:paraId="6F35764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 委托人的违约责任</w:t>
      </w:r>
    </w:p>
    <w:p w14:paraId="3A86F57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委托人未履行本合同义务的，应承担相应的责任。</w:t>
      </w:r>
    </w:p>
    <w:p w14:paraId="4231FB2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4.2.1 委托人违反本合同约定造成监理人损失的，委托人应予以赔偿。</w:t>
      </w:r>
    </w:p>
    <w:p w14:paraId="4B52332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4.2.2 委托人向监理人的索赔不成立时，应赔偿监理人由此引起的费用。</w:t>
      </w:r>
    </w:p>
    <w:p w14:paraId="5D293C6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 xml:space="preserve">4.2.3 </w:t>
      </w:r>
      <w:r>
        <w:rPr>
          <w:rFonts w:hint="eastAsia" w:ascii="宋体" w:hAnsi="宋体" w:eastAsia="宋体" w:cs="宋体"/>
          <w:color w:val="auto"/>
          <w:kern w:val="0"/>
          <w:szCs w:val="21"/>
          <w:highlight w:val="none"/>
        </w:rPr>
        <w:t>委托人未能按期支付</w:t>
      </w:r>
      <w:r>
        <w:rPr>
          <w:rFonts w:hint="eastAsia" w:ascii="宋体" w:hAnsi="宋体" w:eastAsia="宋体" w:cs="宋体"/>
          <w:color w:val="auto"/>
          <w:szCs w:val="21"/>
          <w:highlight w:val="none"/>
        </w:rPr>
        <w:t>酬金</w:t>
      </w:r>
      <w:r>
        <w:rPr>
          <w:rFonts w:hint="eastAsia" w:ascii="宋体" w:hAnsi="宋体" w:eastAsia="宋体" w:cs="宋体"/>
          <w:color w:val="auto"/>
          <w:kern w:val="0"/>
          <w:szCs w:val="21"/>
          <w:highlight w:val="none"/>
        </w:rPr>
        <w:t>超过28天，应按专用条件约定支付逾期付款利息。</w:t>
      </w:r>
    </w:p>
    <w:p w14:paraId="1843E87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4.3 除外责任</w:t>
      </w:r>
    </w:p>
    <w:p w14:paraId="36F5880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因非监理人的原因，且监理人无过错，发生工程质量事故、安全事故、工期延误等造成的损失，监理人不承担赔偿责任。</w:t>
      </w:r>
    </w:p>
    <w:p w14:paraId="49288EF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因不可抗力导致本合同全部或部分不能履行时，双方各自承担其因此而造成的损失、损害。</w:t>
      </w:r>
    </w:p>
    <w:p w14:paraId="7BCFDE2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2" w:firstLineChars="200"/>
        <w:textAlignment w:val="auto"/>
        <w:rPr>
          <w:rFonts w:hint="eastAsia" w:ascii="宋体" w:hAnsi="宋体" w:eastAsia="宋体" w:cs="宋体"/>
          <w:b/>
          <w:color w:val="auto"/>
          <w:sz w:val="22"/>
          <w:szCs w:val="24"/>
          <w:highlight w:val="none"/>
        </w:rPr>
      </w:pPr>
      <w:r>
        <w:rPr>
          <w:rFonts w:hint="eastAsia" w:ascii="宋体" w:hAnsi="宋体" w:eastAsia="宋体" w:cs="宋体"/>
          <w:b/>
          <w:color w:val="auto"/>
          <w:sz w:val="22"/>
          <w:szCs w:val="24"/>
          <w:highlight w:val="none"/>
        </w:rPr>
        <w:t>5. 支付</w:t>
      </w:r>
    </w:p>
    <w:p w14:paraId="09A0DE3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 xml:space="preserve">5.1 </w:t>
      </w:r>
      <w:r>
        <w:rPr>
          <w:rFonts w:hint="eastAsia" w:ascii="宋体" w:hAnsi="宋体" w:eastAsia="宋体" w:cs="宋体"/>
          <w:bCs/>
          <w:color w:val="auto"/>
          <w:szCs w:val="21"/>
          <w:highlight w:val="none"/>
        </w:rPr>
        <w:t>支付货币</w:t>
      </w:r>
    </w:p>
    <w:p w14:paraId="5D074DB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除专用条件另有约定外，酬金均以人民币支付。涉及外币支付的，所采用的货币种类、比例和汇率在专用条件中约定。</w:t>
      </w:r>
    </w:p>
    <w:p w14:paraId="536AF4D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5.2 支付申请</w:t>
      </w:r>
    </w:p>
    <w:p w14:paraId="4A2C547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监理人应在本合同约定的每次应付款时间的7天前，向委托人提交支付申请书。支付申请书应当说明当期应付款总额，并列出当期应支付的款项及其金额。</w:t>
      </w:r>
    </w:p>
    <w:p w14:paraId="6D1B3E4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支付酬金</w:t>
      </w:r>
    </w:p>
    <w:p w14:paraId="0C0B741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支付的酬金包括正常工作酬金、附加工作酬金、合理化建议奖励金额及费用。</w:t>
      </w:r>
    </w:p>
    <w:p w14:paraId="15717A2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 xml:space="preserve">5.4 </w:t>
      </w:r>
      <w:r>
        <w:rPr>
          <w:rFonts w:hint="eastAsia" w:ascii="宋体" w:hAnsi="宋体" w:eastAsia="宋体" w:cs="宋体"/>
          <w:bCs/>
          <w:color w:val="auto"/>
          <w:szCs w:val="21"/>
          <w:highlight w:val="none"/>
        </w:rPr>
        <w:t>有争议部分的付款</w:t>
      </w:r>
    </w:p>
    <w:p w14:paraId="7402E9F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委托人对监理人提交的支付申请书有异议时，应当在收到监理人提交的支付申请书后7天内，以书面形式向监理人发出异议通知。无异议部分的款项应按期支付，有异议部分的款项按第7条约定办理。</w:t>
      </w:r>
    </w:p>
    <w:p w14:paraId="6CFF2B2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2" w:firstLineChars="200"/>
        <w:textAlignment w:val="auto"/>
        <w:rPr>
          <w:rFonts w:hint="eastAsia" w:ascii="宋体" w:hAnsi="宋体" w:eastAsia="宋体" w:cs="宋体"/>
          <w:b/>
          <w:color w:val="auto"/>
          <w:sz w:val="22"/>
          <w:szCs w:val="24"/>
          <w:highlight w:val="none"/>
        </w:rPr>
      </w:pPr>
      <w:r>
        <w:rPr>
          <w:rFonts w:hint="eastAsia" w:ascii="宋体" w:hAnsi="宋体" w:eastAsia="宋体" w:cs="宋体"/>
          <w:b/>
          <w:color w:val="auto"/>
          <w:sz w:val="22"/>
          <w:szCs w:val="24"/>
          <w:highlight w:val="none"/>
        </w:rPr>
        <w:t>6. 合同生效、变更、暂停、解除与终止</w:t>
      </w:r>
    </w:p>
    <w:p w14:paraId="0E13A09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6.1生效</w:t>
      </w:r>
    </w:p>
    <w:p w14:paraId="2114080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除法律另有规定或者专用条件另有约定外，委托人和监理人的法定代表人或其授权代理人在协议书上签字并盖单位章后本合同生效。</w:t>
      </w:r>
    </w:p>
    <w:p w14:paraId="6868E25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变更</w:t>
      </w:r>
    </w:p>
    <w:p w14:paraId="3F555CC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6.2.1 任何一方提出变更请求时，双方经协商一致后可进行变更。</w:t>
      </w:r>
    </w:p>
    <w:p w14:paraId="7E1013A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6A91430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612226F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6.2.4合同签订后，遇有与工程相关的法律法规、标准颁布或修订的，双方应遵照执行。由此引起监理与相关服务的范围、时间、酬金变化的，双方应通过协商进行相应调整。</w:t>
      </w:r>
    </w:p>
    <w:p w14:paraId="19DF3D0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6.2.5 因非监理人原因造成工程概算投资额或建筑安装工程费增加时，正常工作酬金应作相应调整。调整方法在专用条件中约定。</w:t>
      </w:r>
    </w:p>
    <w:p w14:paraId="0A3291E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6.2.6 因工程规模、监理范围的变化导致监理人的正常工作量减少时，正常工作酬金应作相应调整。调整方法在专用条件中约定。</w:t>
      </w:r>
    </w:p>
    <w:p w14:paraId="0FE0B13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6.3 暂停与</w:t>
      </w:r>
      <w:r>
        <w:rPr>
          <w:rFonts w:hint="eastAsia" w:ascii="宋体" w:hAnsi="宋体" w:eastAsia="宋体" w:cs="宋体"/>
          <w:bCs/>
          <w:color w:val="auto"/>
          <w:szCs w:val="21"/>
          <w:highlight w:val="none"/>
        </w:rPr>
        <w:t>解除</w:t>
      </w:r>
    </w:p>
    <w:p w14:paraId="7AA256F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除双方协商一致可以解除本合同外，当一方无正当理由未履行本合同约定的义务时，另一方可以根据本合同约定暂停履行本合同直至解除本合同。</w:t>
      </w:r>
    </w:p>
    <w:p w14:paraId="46F7462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6223289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因解除本合同或解除监理人的部分义务导致监理人遭受的损失，除依法可以免除责任的情况外，应由委托人予以补偿，补偿金额由双方协商确定。</w:t>
      </w:r>
    </w:p>
    <w:p w14:paraId="4B14977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解除本合同的协议必须采取书面形式，协议未达成之前，本合同仍然有效。</w:t>
      </w:r>
    </w:p>
    <w:p w14:paraId="5B8ACB6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4455481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宋体" w:hAnsi="宋体" w:eastAsia="宋体" w:cs="宋体"/>
          <w:color w:val="auto"/>
          <w:kern w:val="0"/>
          <w:szCs w:val="21"/>
          <w:highlight w:val="none"/>
        </w:rPr>
        <w:t>的</w:t>
      </w:r>
      <w:r>
        <w:rPr>
          <w:rFonts w:hint="eastAsia" w:ascii="宋体" w:hAnsi="宋体" w:eastAsia="宋体" w:cs="宋体"/>
          <w:color w:val="auto"/>
          <w:szCs w:val="21"/>
          <w:highlight w:val="none"/>
        </w:rPr>
        <w:t>酬金支付至本合同解除日，且应承担第4.2款约定的责任。</w:t>
      </w:r>
    </w:p>
    <w:p w14:paraId="50CED7D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宋体" w:hAnsi="宋体" w:eastAsia="宋体" w:cs="宋体"/>
          <w:color w:val="auto"/>
          <w:kern w:val="0"/>
          <w:szCs w:val="21"/>
          <w:highlight w:val="none"/>
        </w:rPr>
        <w:t>的</w:t>
      </w:r>
      <w:r>
        <w:rPr>
          <w:rFonts w:hint="eastAsia" w:ascii="宋体" w:hAnsi="宋体" w:eastAsia="宋体" w:cs="宋体"/>
          <w:color w:val="auto"/>
          <w:szCs w:val="21"/>
          <w:highlight w:val="none"/>
        </w:rPr>
        <w:t>酬金支付至</w:t>
      </w:r>
      <w:r>
        <w:rPr>
          <w:rFonts w:hint="eastAsia" w:ascii="宋体" w:hAnsi="宋体" w:eastAsia="宋体" w:cs="宋体"/>
          <w:color w:val="auto"/>
          <w:kern w:val="0"/>
          <w:szCs w:val="21"/>
          <w:highlight w:val="none"/>
        </w:rPr>
        <w:t>限期改正通知到达监理人之日</w:t>
      </w:r>
      <w:r>
        <w:rPr>
          <w:rFonts w:hint="eastAsia" w:ascii="宋体" w:hAnsi="宋体" w:eastAsia="宋体" w:cs="宋体"/>
          <w:color w:val="auto"/>
          <w:szCs w:val="21"/>
          <w:highlight w:val="none"/>
        </w:rPr>
        <w:t>，但监理人应承担第4.1款约定的责任。</w:t>
      </w:r>
    </w:p>
    <w:p w14:paraId="68150AA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30AFE50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6.3.5 因不可抗力致使本合同部分或全部不能履行时，一方应立即通知另一方，可暂停或解除本合同。</w:t>
      </w:r>
    </w:p>
    <w:p w14:paraId="0117E82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6.3.6 本合同解除后，本合同约定的有关结算、清理、争议解决方式的条件仍然有效。</w:t>
      </w:r>
    </w:p>
    <w:p w14:paraId="6E54EF9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 xml:space="preserve">6.4 </w:t>
      </w:r>
      <w:r>
        <w:rPr>
          <w:rFonts w:hint="eastAsia" w:ascii="宋体" w:hAnsi="宋体" w:eastAsia="宋体" w:cs="宋体"/>
          <w:bCs/>
          <w:color w:val="auto"/>
          <w:szCs w:val="21"/>
          <w:highlight w:val="none"/>
        </w:rPr>
        <w:t>终止</w:t>
      </w:r>
    </w:p>
    <w:p w14:paraId="4FC0577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以下条件全部满足时，本合同即告终止：</w:t>
      </w:r>
    </w:p>
    <w:p w14:paraId="1340BE0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（1）监理人完成本合同约定的全部工作；</w:t>
      </w:r>
    </w:p>
    <w:p w14:paraId="31376EB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（2）委托人与监理人结清并支付全部酬金。</w:t>
      </w:r>
    </w:p>
    <w:p w14:paraId="04FB13A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2" w:firstLineChars="200"/>
        <w:textAlignment w:val="auto"/>
        <w:rPr>
          <w:rFonts w:hint="eastAsia" w:ascii="宋体" w:hAnsi="宋体" w:eastAsia="宋体" w:cs="宋体"/>
          <w:b/>
          <w:color w:val="auto"/>
          <w:sz w:val="22"/>
          <w:szCs w:val="24"/>
          <w:highlight w:val="none"/>
        </w:rPr>
      </w:pPr>
      <w:r>
        <w:rPr>
          <w:rFonts w:hint="eastAsia" w:ascii="宋体" w:hAnsi="宋体" w:eastAsia="宋体" w:cs="宋体"/>
          <w:b/>
          <w:color w:val="auto"/>
          <w:sz w:val="22"/>
          <w:szCs w:val="24"/>
          <w:highlight w:val="none"/>
        </w:rPr>
        <w:t>7. 争议解决</w:t>
      </w:r>
    </w:p>
    <w:p w14:paraId="401ADA5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7.1</w:t>
      </w:r>
      <w:r>
        <w:rPr>
          <w:rFonts w:hint="eastAsia" w:ascii="宋体" w:hAnsi="宋体" w:eastAsia="宋体" w:cs="宋体"/>
          <w:bCs/>
          <w:color w:val="auto"/>
          <w:szCs w:val="21"/>
          <w:highlight w:val="none"/>
        </w:rPr>
        <w:t>协商</w:t>
      </w:r>
    </w:p>
    <w:p w14:paraId="3D6108E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双方应本着诚信原则协商解决彼此间的争议。</w:t>
      </w:r>
    </w:p>
    <w:p w14:paraId="664DA10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7.2</w:t>
      </w:r>
      <w:r>
        <w:rPr>
          <w:rFonts w:hint="eastAsia" w:ascii="宋体" w:hAnsi="宋体" w:eastAsia="宋体" w:cs="宋体"/>
          <w:bCs/>
          <w:color w:val="auto"/>
          <w:szCs w:val="21"/>
          <w:highlight w:val="none"/>
        </w:rPr>
        <w:t>调解</w:t>
      </w:r>
    </w:p>
    <w:p w14:paraId="47ABF96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如果双方不能在14天内或双方商定的其他时间内解决本合同争议，可以将其提交给专用条件约定的或事后达成协议的调解人进行调解。</w:t>
      </w:r>
    </w:p>
    <w:p w14:paraId="5FF1F15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7.3</w:t>
      </w:r>
      <w:r>
        <w:rPr>
          <w:rFonts w:hint="eastAsia" w:ascii="宋体" w:hAnsi="宋体" w:eastAsia="宋体" w:cs="宋体"/>
          <w:bCs/>
          <w:color w:val="auto"/>
          <w:szCs w:val="21"/>
          <w:highlight w:val="none"/>
        </w:rPr>
        <w:t>仲裁或诉讼</w:t>
      </w:r>
    </w:p>
    <w:p w14:paraId="12C65DD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双方均有权不经调解直接向专用条件约定的仲裁机构申请仲裁或向有管辖权的人民法院提起诉讼。</w:t>
      </w:r>
    </w:p>
    <w:p w14:paraId="6FA8FC2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2" w:firstLineChars="200"/>
        <w:textAlignment w:val="auto"/>
        <w:rPr>
          <w:rFonts w:hint="eastAsia" w:ascii="宋体" w:hAnsi="宋体" w:eastAsia="宋体" w:cs="宋体"/>
          <w:b/>
          <w:color w:val="auto"/>
          <w:sz w:val="22"/>
          <w:szCs w:val="24"/>
          <w:highlight w:val="none"/>
        </w:rPr>
      </w:pPr>
      <w:r>
        <w:rPr>
          <w:rFonts w:hint="eastAsia" w:ascii="宋体" w:hAnsi="宋体" w:eastAsia="宋体" w:cs="宋体"/>
          <w:b/>
          <w:color w:val="auto"/>
          <w:sz w:val="22"/>
          <w:szCs w:val="24"/>
          <w:highlight w:val="none"/>
        </w:rPr>
        <w:t>8. 其他</w:t>
      </w:r>
    </w:p>
    <w:p w14:paraId="10A8819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 xml:space="preserve">8.1 </w:t>
      </w:r>
      <w:r>
        <w:rPr>
          <w:rFonts w:hint="eastAsia" w:ascii="宋体" w:hAnsi="宋体" w:eastAsia="宋体" w:cs="宋体"/>
          <w:bCs/>
          <w:color w:val="auto"/>
          <w:szCs w:val="21"/>
          <w:highlight w:val="none"/>
        </w:rPr>
        <w:t>外出考察费用</w:t>
      </w:r>
    </w:p>
    <w:p w14:paraId="09E144D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经委托人同意，监理人员外出考察发生的费用由委托人审核后支付。</w:t>
      </w:r>
    </w:p>
    <w:p w14:paraId="71DEA32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 xml:space="preserve">8.2 </w:t>
      </w:r>
      <w:r>
        <w:rPr>
          <w:rFonts w:hint="eastAsia" w:ascii="宋体" w:hAnsi="宋体" w:eastAsia="宋体" w:cs="宋体"/>
          <w:bCs/>
          <w:color w:val="auto"/>
          <w:szCs w:val="21"/>
          <w:highlight w:val="none"/>
        </w:rPr>
        <w:t>检测费用</w:t>
      </w:r>
    </w:p>
    <w:p w14:paraId="5FD80C3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委托人要求监理人进行的材料和设备检测所发生的费用，由委托人支付，支付时间在专用条件中约定。</w:t>
      </w:r>
    </w:p>
    <w:p w14:paraId="4365D20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 xml:space="preserve">8.3 </w:t>
      </w:r>
      <w:r>
        <w:rPr>
          <w:rFonts w:hint="eastAsia" w:ascii="宋体" w:hAnsi="宋体" w:eastAsia="宋体" w:cs="宋体"/>
          <w:bCs/>
          <w:color w:val="auto"/>
          <w:szCs w:val="21"/>
          <w:highlight w:val="none"/>
        </w:rPr>
        <w:t>咨询费用</w:t>
      </w:r>
    </w:p>
    <w:p w14:paraId="5F12814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经委托人同意，根据工程需要由监理人组织的相关咨询论证会以及聘请相关专家等发生的费用由委托人支付，支付时间在专用条件中约定。</w:t>
      </w:r>
    </w:p>
    <w:p w14:paraId="509E38C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 xml:space="preserve">8.4 </w:t>
      </w:r>
      <w:r>
        <w:rPr>
          <w:rFonts w:hint="eastAsia" w:ascii="宋体" w:hAnsi="宋体" w:eastAsia="宋体" w:cs="宋体"/>
          <w:bCs/>
          <w:color w:val="auto"/>
          <w:szCs w:val="21"/>
          <w:highlight w:val="none"/>
        </w:rPr>
        <w:t>奖励</w:t>
      </w:r>
    </w:p>
    <w:p w14:paraId="2FF0824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监理人在服务过程中提出的合理化建议，使委托人获得经济效益的，双方在专用条件中约定奖励金额的确定方法。奖励金额在合理化建议被采纳后，与最近一期的正常工作酬金同期支付。</w:t>
      </w:r>
    </w:p>
    <w:p w14:paraId="5E56DA1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 xml:space="preserve">8.5 </w:t>
      </w:r>
      <w:r>
        <w:rPr>
          <w:rFonts w:hint="eastAsia" w:ascii="宋体" w:hAnsi="宋体" w:eastAsia="宋体" w:cs="宋体"/>
          <w:bCs/>
          <w:color w:val="auto"/>
          <w:szCs w:val="21"/>
          <w:highlight w:val="none"/>
        </w:rPr>
        <w:t>守法诚信</w:t>
      </w:r>
    </w:p>
    <w:p w14:paraId="4316248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监理人及其工作人员不得从与实施工程有关的第三方处获得任何经济利益。</w:t>
      </w:r>
    </w:p>
    <w:p w14:paraId="4AAB265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 xml:space="preserve">8.6 </w:t>
      </w:r>
      <w:r>
        <w:rPr>
          <w:rFonts w:hint="eastAsia" w:ascii="宋体" w:hAnsi="宋体" w:eastAsia="宋体" w:cs="宋体"/>
          <w:bCs/>
          <w:color w:val="auto"/>
          <w:szCs w:val="21"/>
          <w:highlight w:val="none"/>
        </w:rPr>
        <w:t>保密</w:t>
      </w:r>
    </w:p>
    <w:p w14:paraId="0FEC24F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双方不得泄露对方申明的保密资料，亦不得泄露与实施工程有关的第三方所提供的保密资料，保密事项在专用条件中约定。</w:t>
      </w:r>
    </w:p>
    <w:p w14:paraId="60AD78B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 xml:space="preserve">8.7 </w:t>
      </w:r>
      <w:r>
        <w:rPr>
          <w:rFonts w:hint="eastAsia" w:ascii="宋体" w:hAnsi="宋体" w:eastAsia="宋体" w:cs="宋体"/>
          <w:bCs/>
          <w:color w:val="auto"/>
          <w:szCs w:val="21"/>
          <w:highlight w:val="none"/>
        </w:rPr>
        <w:t>通知</w:t>
      </w:r>
    </w:p>
    <w:p w14:paraId="5DD75AD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本合同涉及的通知均应当采用书面形式，并在送达对方时生效，收件人应书面签收。</w:t>
      </w:r>
    </w:p>
    <w:p w14:paraId="74EFF4B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 xml:space="preserve">8.8 </w:t>
      </w:r>
      <w:r>
        <w:rPr>
          <w:rFonts w:hint="eastAsia" w:ascii="宋体" w:hAnsi="宋体" w:eastAsia="宋体" w:cs="宋体"/>
          <w:bCs/>
          <w:color w:val="auto"/>
          <w:szCs w:val="21"/>
          <w:highlight w:val="none"/>
        </w:rPr>
        <w:t>著作权</w:t>
      </w:r>
    </w:p>
    <w:p w14:paraId="29596A0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监理人对其编制的文件拥有著作权。</w:t>
      </w:r>
    </w:p>
    <w:p w14:paraId="0CDB8C9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7525A27B">
      <w:pPr>
        <w:pStyle w:val="18"/>
        <w:ind w:firstLine="480"/>
        <w:rPr>
          <w:rFonts w:hint="eastAsia" w:ascii="宋体" w:hAnsi="宋体" w:eastAsia="宋体" w:cs="宋体"/>
          <w:color w:val="auto"/>
          <w:highlight w:val="none"/>
        </w:rPr>
      </w:pPr>
    </w:p>
    <w:p w14:paraId="07FA1493">
      <w:pPr>
        <w:tabs>
          <w:tab w:val="right" w:pos="8486"/>
        </w:tabs>
        <w:spacing w:line="400" w:lineRule="exact"/>
        <w:ind w:firstLine="643" w:firstLineChars="200"/>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第三部分  专用条件</w:t>
      </w:r>
      <w:bookmarkEnd w:id="147"/>
    </w:p>
    <w:p w14:paraId="1EFBFFB6">
      <w:pPr>
        <w:pStyle w:val="14"/>
        <w:spacing w:before="0" w:after="0" w:line="360" w:lineRule="auto"/>
        <w:rPr>
          <w:rFonts w:hint="eastAsia" w:ascii="宋体" w:hAnsi="宋体" w:eastAsia="宋体" w:cs="宋体"/>
          <w:color w:val="auto"/>
          <w:sz w:val="21"/>
          <w:szCs w:val="21"/>
          <w:highlight w:val="none"/>
        </w:rPr>
      </w:pPr>
      <w:bookmarkStart w:id="148" w:name="_Toc398107910"/>
      <w:r>
        <w:rPr>
          <w:rFonts w:hint="eastAsia" w:ascii="宋体" w:hAnsi="宋体" w:eastAsia="宋体" w:cs="宋体"/>
          <w:color w:val="auto"/>
          <w:sz w:val="21"/>
          <w:szCs w:val="21"/>
          <w:highlight w:val="none"/>
        </w:rPr>
        <w:t>1. 定义与解释</w:t>
      </w:r>
      <w:bookmarkEnd w:id="148"/>
    </w:p>
    <w:p w14:paraId="214F093A">
      <w:pPr>
        <w:adjustRightInd w:val="0"/>
        <w:snapToGrid w:val="0"/>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1.2  解释</w:t>
      </w:r>
    </w:p>
    <w:p w14:paraId="2F91B1B5">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 本合同文件除使用中文外，还可用</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09D5FB86">
      <w:pPr>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1.2.2 约定本合同文件的解释顺序为：</w:t>
      </w:r>
      <w:bookmarkStart w:id="149" w:name="_Toc398107911"/>
      <w:r>
        <w:rPr>
          <w:rFonts w:hint="eastAsia" w:ascii="宋体" w:hAnsi="宋体" w:eastAsia="宋体" w:cs="宋体"/>
          <w:color w:val="auto"/>
          <w:szCs w:val="21"/>
          <w:highlight w:val="none"/>
          <w:u w:val="single"/>
        </w:rPr>
        <w:t>（1）协议书；（2）中标通知书（适用于招标工程）或委托书（适用于非招标工程）；（3）招标文件；（4）专用条件及附录 A、附录 B；（5）通用条件；（6）投标文件（适用于招标工程）或监理与相关服务建议书（适用于非招标工程） 。</w:t>
      </w:r>
    </w:p>
    <w:p w14:paraId="29C31C8C">
      <w:pPr>
        <w:pStyle w:val="14"/>
        <w:spacing w:before="0"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监理人义务</w:t>
      </w:r>
      <w:bookmarkEnd w:id="149"/>
    </w:p>
    <w:p w14:paraId="38035399">
      <w:pPr>
        <w:adjustRightInd w:val="0"/>
        <w:snapToGrid w:val="0"/>
        <w:spacing w:line="360" w:lineRule="auto"/>
        <w:ind w:firstLine="310" w:firstLineChars="148"/>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2.1 监理的范围和内容</w:t>
      </w:r>
    </w:p>
    <w:p w14:paraId="3C89CCF5">
      <w:pPr>
        <w:keepNext w:val="0"/>
        <w:keepLines w:val="0"/>
        <w:pageBreakBefore w:val="0"/>
        <w:widowControl w:val="0"/>
        <w:kinsoku/>
        <w:wordWrap/>
        <w:overflowPunct/>
        <w:topLinePunct w:val="0"/>
        <w:autoSpaceDE/>
        <w:autoSpaceDN/>
        <w:bidi w:val="0"/>
        <w:spacing w:line="360" w:lineRule="auto"/>
        <w:ind w:firstLine="437"/>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2.1.1 监理范围包括：</w:t>
      </w:r>
      <w:r>
        <w:rPr>
          <w:rFonts w:hint="eastAsia" w:ascii="宋体" w:hAnsi="宋体" w:eastAsia="宋体" w:cs="宋体"/>
          <w:color w:val="auto"/>
          <w:sz w:val="21"/>
          <w:szCs w:val="21"/>
          <w:highlight w:val="none"/>
          <w:u w:val="single"/>
          <w:lang w:val="en-US" w:eastAsia="zh-CN"/>
        </w:rPr>
        <w:t>西区初中校南侧规划道路新建工程</w:t>
      </w:r>
      <w:r>
        <w:rPr>
          <w:rFonts w:hint="eastAsia" w:ascii="宋体" w:hAnsi="宋体" w:eastAsia="宋体" w:cs="宋体"/>
          <w:color w:val="auto"/>
          <w:highlight w:val="none"/>
          <w:u w:val="single"/>
        </w:rPr>
        <w:t>施工图纸及工程量清单范围内的</w:t>
      </w:r>
      <w:r>
        <w:rPr>
          <w:rFonts w:hint="eastAsia" w:ascii="宋体" w:hAnsi="宋体" w:eastAsia="宋体" w:cs="宋体"/>
          <w:color w:val="auto"/>
          <w:highlight w:val="none"/>
          <w:u w:val="single"/>
          <w:lang w:val="en-US" w:eastAsia="zh-CN"/>
        </w:rPr>
        <w:t>土石方工程、道路工程、雨污水工程、交安设施工程、景观绿化工程、路灯工程</w:t>
      </w:r>
      <w:r>
        <w:rPr>
          <w:rFonts w:hint="eastAsia" w:ascii="宋体" w:hAnsi="宋体" w:eastAsia="宋体" w:cs="宋体"/>
          <w:color w:val="auto"/>
          <w:highlight w:val="none"/>
          <w:u w:val="single"/>
        </w:rPr>
        <w:t>等</w:t>
      </w:r>
      <w:r>
        <w:rPr>
          <w:rFonts w:hint="eastAsia" w:ascii="宋体" w:hAnsi="宋体" w:eastAsia="宋体" w:cs="宋体"/>
          <w:color w:val="auto"/>
          <w:kern w:val="0"/>
          <w:szCs w:val="21"/>
          <w:highlight w:val="none"/>
          <w:u w:val="single"/>
        </w:rPr>
        <w:t>立项批复中涉及到的所有工程的施工阶段全过程及保修阶段的监理。</w:t>
      </w:r>
    </w:p>
    <w:p w14:paraId="77959130">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color w:val="auto"/>
          <w:szCs w:val="21"/>
          <w:highlight w:val="none"/>
          <w:u w:val="single"/>
        </w:rPr>
        <w:t>施工阶段和保修阶段的三控制、</w:t>
      </w:r>
      <w:r>
        <w:rPr>
          <w:rFonts w:hint="eastAsia"/>
          <w:color w:val="auto"/>
          <w:szCs w:val="21"/>
          <w:highlight w:val="none"/>
          <w:u w:val="single"/>
          <w:lang w:val="en-US" w:eastAsia="zh-CN"/>
        </w:rPr>
        <w:t>三</w:t>
      </w:r>
      <w:r>
        <w:rPr>
          <w:rFonts w:hint="eastAsia"/>
          <w:color w:val="auto"/>
          <w:szCs w:val="21"/>
          <w:highlight w:val="none"/>
          <w:u w:val="single"/>
        </w:rPr>
        <w:t>管理、一协调。</w:t>
      </w:r>
      <w:r>
        <w:rPr>
          <w:rFonts w:hint="eastAsia"/>
          <w:color w:val="auto"/>
          <w:sz w:val="21"/>
          <w:szCs w:val="21"/>
          <w:highlight w:val="none"/>
          <w:u w:val="single"/>
          <w:lang w:eastAsia="zh-CN"/>
        </w:rPr>
        <w:t>包含但不限于以下事项：（1）投资控制；（2）工期控制；（3）质量控制；（4）信息管理；（5）合同管理；（6）安全管理；（7）组织协调；（8）质量保修期的监理工作；（9）委托人委托的其他工作。</w:t>
      </w:r>
    </w:p>
    <w:p w14:paraId="1738836B">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color w:val="auto"/>
          <w:szCs w:val="21"/>
          <w:highlight w:val="none"/>
        </w:rPr>
      </w:pPr>
      <w:r>
        <w:rPr>
          <w:rFonts w:ascii="宋体" w:hAnsi="宋体" w:cs="宋体"/>
          <w:color w:val="auto"/>
          <w:szCs w:val="21"/>
          <w:highlight w:val="none"/>
        </w:rPr>
        <w:t xml:space="preserve">2.1.2 </w:t>
      </w:r>
      <w:r>
        <w:rPr>
          <w:rFonts w:hint="eastAsia" w:ascii="宋体" w:hAnsi="宋体" w:cs="宋体"/>
          <w:color w:val="auto"/>
          <w:szCs w:val="21"/>
          <w:highlight w:val="none"/>
        </w:rPr>
        <w:t>监理工作内容还包括：</w:t>
      </w:r>
    </w:p>
    <w:p w14:paraId="5FAEC338">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color w:val="auto"/>
          <w:szCs w:val="21"/>
          <w:highlight w:val="none"/>
          <w:u w:val="single"/>
          <w:lang w:val="zh-CN"/>
        </w:rPr>
      </w:pPr>
      <w:r>
        <w:rPr>
          <w:rFonts w:ascii="宋体" w:hAnsi="宋体"/>
          <w:color w:val="auto"/>
          <w:szCs w:val="21"/>
          <w:highlight w:val="none"/>
          <w:u w:val="single"/>
          <w:lang w:val="zh-CN"/>
        </w:rPr>
        <w:t>1</w:t>
      </w:r>
      <w:r>
        <w:rPr>
          <w:rFonts w:hint="eastAsia" w:ascii="宋体" w:hAnsi="宋体"/>
          <w:color w:val="auto"/>
          <w:szCs w:val="21"/>
          <w:highlight w:val="none"/>
          <w:u w:val="single"/>
          <w:lang w:val="zh-CN"/>
        </w:rPr>
        <w:t>）由总监主持编写监理规划并及时报业主审批；</w:t>
      </w:r>
      <w:r>
        <w:rPr>
          <w:rFonts w:ascii="宋体" w:hAnsi="宋体"/>
          <w:color w:val="auto"/>
          <w:szCs w:val="21"/>
          <w:highlight w:val="none"/>
          <w:u w:val="single"/>
          <w:lang w:val="zh-CN"/>
        </w:rPr>
        <w:t xml:space="preserve"> </w:t>
      </w:r>
    </w:p>
    <w:p w14:paraId="39A34D75">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color w:val="auto"/>
          <w:szCs w:val="21"/>
          <w:highlight w:val="none"/>
          <w:u w:val="single"/>
          <w:lang w:val="zh-CN"/>
        </w:rPr>
      </w:pPr>
      <w:r>
        <w:rPr>
          <w:rFonts w:ascii="宋体" w:hAnsi="宋体"/>
          <w:color w:val="auto"/>
          <w:szCs w:val="21"/>
          <w:highlight w:val="none"/>
          <w:u w:val="single"/>
          <w:lang w:val="zh-CN"/>
        </w:rPr>
        <w:t>2</w:t>
      </w:r>
      <w:r>
        <w:rPr>
          <w:rFonts w:hint="eastAsia" w:ascii="宋体" w:hAnsi="宋体"/>
          <w:color w:val="auto"/>
          <w:szCs w:val="21"/>
          <w:highlight w:val="none"/>
          <w:u w:val="single"/>
          <w:lang w:val="zh-CN"/>
        </w:rPr>
        <w:t>）协助业主做好开工前的准备工作；</w:t>
      </w:r>
      <w:r>
        <w:rPr>
          <w:rFonts w:ascii="宋体" w:hAnsi="宋体"/>
          <w:color w:val="auto"/>
          <w:szCs w:val="21"/>
          <w:highlight w:val="none"/>
          <w:u w:val="single"/>
          <w:lang w:val="zh-CN"/>
        </w:rPr>
        <w:t xml:space="preserve"> </w:t>
      </w:r>
    </w:p>
    <w:p w14:paraId="029323CA">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color w:val="auto"/>
          <w:szCs w:val="21"/>
          <w:highlight w:val="none"/>
          <w:u w:val="single"/>
          <w:lang w:val="zh-CN"/>
        </w:rPr>
      </w:pPr>
      <w:r>
        <w:rPr>
          <w:rFonts w:ascii="宋体" w:hAnsi="宋体"/>
          <w:color w:val="auto"/>
          <w:szCs w:val="21"/>
          <w:highlight w:val="none"/>
          <w:u w:val="single"/>
          <w:lang w:val="zh-CN"/>
        </w:rPr>
        <w:t>3</w:t>
      </w:r>
      <w:r>
        <w:rPr>
          <w:rFonts w:hint="eastAsia" w:ascii="宋体" w:hAnsi="宋体"/>
          <w:color w:val="auto"/>
          <w:szCs w:val="21"/>
          <w:highlight w:val="none"/>
          <w:u w:val="single"/>
          <w:lang w:val="zh-CN"/>
        </w:rPr>
        <w:t>）协助业主确定分包单位；</w:t>
      </w:r>
      <w:r>
        <w:rPr>
          <w:rFonts w:ascii="宋体" w:hAnsi="宋体"/>
          <w:color w:val="auto"/>
          <w:szCs w:val="21"/>
          <w:highlight w:val="none"/>
          <w:u w:val="single"/>
          <w:lang w:val="zh-CN"/>
        </w:rPr>
        <w:t xml:space="preserve"> </w:t>
      </w:r>
    </w:p>
    <w:p w14:paraId="7A8687D4">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color w:val="auto"/>
          <w:szCs w:val="21"/>
          <w:highlight w:val="none"/>
          <w:u w:val="single"/>
          <w:lang w:val="zh-CN"/>
        </w:rPr>
      </w:pPr>
      <w:r>
        <w:rPr>
          <w:rFonts w:ascii="宋体" w:hAnsi="宋体"/>
          <w:color w:val="auto"/>
          <w:szCs w:val="21"/>
          <w:highlight w:val="none"/>
          <w:u w:val="single"/>
          <w:lang w:val="zh-CN"/>
        </w:rPr>
        <w:t>4</w:t>
      </w:r>
      <w:r>
        <w:rPr>
          <w:rFonts w:hint="eastAsia" w:ascii="宋体" w:hAnsi="宋体"/>
          <w:color w:val="auto"/>
          <w:szCs w:val="21"/>
          <w:highlight w:val="none"/>
          <w:u w:val="single"/>
          <w:lang w:val="zh-CN"/>
        </w:rPr>
        <w:t>）审定施工单位的施工组织计划，并编写有针对性的监理细则；</w:t>
      </w:r>
      <w:r>
        <w:rPr>
          <w:rFonts w:ascii="宋体" w:hAnsi="宋体"/>
          <w:color w:val="auto"/>
          <w:szCs w:val="21"/>
          <w:highlight w:val="none"/>
          <w:u w:val="single"/>
          <w:lang w:val="zh-CN"/>
        </w:rPr>
        <w:t xml:space="preserve"> </w:t>
      </w:r>
    </w:p>
    <w:p w14:paraId="5B41EBDD">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color w:val="auto"/>
          <w:szCs w:val="21"/>
          <w:highlight w:val="none"/>
          <w:u w:val="single"/>
          <w:lang w:val="zh-CN"/>
        </w:rPr>
      </w:pPr>
      <w:r>
        <w:rPr>
          <w:rFonts w:ascii="宋体" w:hAnsi="宋体"/>
          <w:color w:val="auto"/>
          <w:szCs w:val="21"/>
          <w:highlight w:val="none"/>
          <w:u w:val="single"/>
          <w:lang w:val="zh-CN"/>
        </w:rPr>
        <w:t>5</w:t>
      </w:r>
      <w:r>
        <w:rPr>
          <w:rFonts w:hint="eastAsia" w:ascii="宋体" w:hAnsi="宋体"/>
          <w:color w:val="auto"/>
          <w:szCs w:val="21"/>
          <w:highlight w:val="none"/>
          <w:u w:val="single"/>
          <w:lang w:val="zh-CN"/>
        </w:rPr>
        <w:t>）协调各施工单位各工种间的配合；</w:t>
      </w:r>
      <w:r>
        <w:rPr>
          <w:rFonts w:ascii="宋体" w:hAnsi="宋体"/>
          <w:color w:val="auto"/>
          <w:szCs w:val="21"/>
          <w:highlight w:val="none"/>
          <w:u w:val="single"/>
          <w:lang w:val="zh-CN"/>
        </w:rPr>
        <w:t xml:space="preserve"> </w:t>
      </w:r>
    </w:p>
    <w:p w14:paraId="144B8023">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color w:val="auto"/>
          <w:szCs w:val="21"/>
          <w:highlight w:val="none"/>
          <w:u w:val="single"/>
          <w:lang w:val="zh-CN"/>
        </w:rPr>
      </w:pPr>
      <w:r>
        <w:rPr>
          <w:rFonts w:ascii="宋体" w:hAnsi="宋体"/>
          <w:color w:val="auto"/>
          <w:szCs w:val="21"/>
          <w:highlight w:val="none"/>
          <w:u w:val="single"/>
          <w:lang w:val="zh-CN"/>
        </w:rPr>
        <w:t>6</w:t>
      </w:r>
      <w:r>
        <w:rPr>
          <w:rFonts w:hint="eastAsia" w:ascii="宋体" w:hAnsi="宋体"/>
          <w:color w:val="auto"/>
          <w:szCs w:val="21"/>
          <w:highlight w:val="none"/>
          <w:u w:val="single"/>
          <w:lang w:val="zh-CN"/>
        </w:rPr>
        <w:t>）材料核验其合格证、质保书及试验报告等；核定施工单位开具的材料设备清单，检查工程所用材料、构件、设备的规格、质量、数量，并对质量有疑问的材料，采取实物抽样复试，不合格的材料不得用于工程。</w:t>
      </w:r>
      <w:r>
        <w:rPr>
          <w:rFonts w:ascii="宋体" w:hAnsi="宋体"/>
          <w:color w:val="auto"/>
          <w:szCs w:val="21"/>
          <w:highlight w:val="none"/>
          <w:u w:val="single"/>
          <w:lang w:val="zh-CN"/>
        </w:rPr>
        <w:t xml:space="preserve"> </w:t>
      </w:r>
    </w:p>
    <w:p w14:paraId="62754623">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color w:val="auto"/>
          <w:szCs w:val="21"/>
          <w:highlight w:val="none"/>
          <w:u w:val="single"/>
          <w:lang w:val="zh-CN"/>
        </w:rPr>
      </w:pPr>
      <w:r>
        <w:rPr>
          <w:rFonts w:ascii="宋体" w:hAnsi="宋体"/>
          <w:color w:val="auto"/>
          <w:szCs w:val="21"/>
          <w:highlight w:val="none"/>
          <w:u w:val="single"/>
          <w:lang w:val="zh-CN"/>
        </w:rPr>
        <w:t>7</w:t>
      </w:r>
      <w:r>
        <w:rPr>
          <w:rFonts w:hint="eastAsia" w:ascii="宋体" w:hAnsi="宋体"/>
          <w:color w:val="auto"/>
          <w:szCs w:val="21"/>
          <w:highlight w:val="none"/>
          <w:u w:val="single"/>
          <w:lang w:val="zh-CN"/>
        </w:rPr>
        <w:t>）主持工程图纸会审，确认工程设计变更及签证、核定工程量，且每周定期主持召开监理例会，并整理会议纪要。</w:t>
      </w:r>
      <w:r>
        <w:rPr>
          <w:rFonts w:ascii="宋体" w:hAnsi="宋体"/>
          <w:color w:val="auto"/>
          <w:szCs w:val="21"/>
          <w:highlight w:val="none"/>
          <w:u w:val="single"/>
          <w:lang w:val="zh-CN"/>
        </w:rPr>
        <w:t xml:space="preserve"> </w:t>
      </w:r>
    </w:p>
    <w:p w14:paraId="268C98FC">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color w:val="auto"/>
          <w:szCs w:val="21"/>
          <w:highlight w:val="none"/>
          <w:u w:val="single"/>
          <w:lang w:val="zh-CN"/>
        </w:rPr>
      </w:pPr>
      <w:r>
        <w:rPr>
          <w:rFonts w:ascii="宋体" w:hAnsi="宋体"/>
          <w:color w:val="auto"/>
          <w:szCs w:val="21"/>
          <w:highlight w:val="none"/>
          <w:u w:val="single"/>
          <w:lang w:val="zh-CN"/>
        </w:rPr>
        <w:t>8</w:t>
      </w:r>
      <w:r>
        <w:rPr>
          <w:rFonts w:hint="eastAsia" w:ascii="宋体" w:hAnsi="宋体"/>
          <w:color w:val="auto"/>
          <w:szCs w:val="21"/>
          <w:highlight w:val="none"/>
          <w:u w:val="single"/>
          <w:lang w:val="zh-CN"/>
        </w:rPr>
        <w:t>）审定施工进度计划，督促工程施工进度。负责检查工程质量，采取实物见证送样，抽验数据并记录；负责监督、检查施工安全生产，制止不安全施工作业。</w:t>
      </w:r>
      <w:r>
        <w:rPr>
          <w:rFonts w:ascii="宋体" w:hAnsi="宋体"/>
          <w:color w:val="auto"/>
          <w:szCs w:val="21"/>
          <w:highlight w:val="none"/>
          <w:u w:val="single"/>
          <w:lang w:val="zh-CN"/>
        </w:rPr>
        <w:t xml:space="preserve"> </w:t>
      </w:r>
    </w:p>
    <w:p w14:paraId="42E1387A">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color w:val="auto"/>
          <w:szCs w:val="21"/>
          <w:highlight w:val="none"/>
          <w:u w:val="single"/>
          <w:lang w:val="zh-CN"/>
        </w:rPr>
      </w:pPr>
      <w:r>
        <w:rPr>
          <w:rFonts w:ascii="宋体" w:hAnsi="宋体"/>
          <w:color w:val="auto"/>
          <w:szCs w:val="21"/>
          <w:highlight w:val="none"/>
          <w:u w:val="single"/>
          <w:lang w:val="zh-CN"/>
        </w:rPr>
        <w:t>9</w:t>
      </w:r>
      <w:r>
        <w:rPr>
          <w:rFonts w:hint="eastAsia" w:ascii="宋体" w:hAnsi="宋体"/>
          <w:color w:val="auto"/>
          <w:szCs w:val="21"/>
          <w:highlight w:val="none"/>
          <w:u w:val="single"/>
          <w:lang w:val="zh-CN"/>
        </w:rPr>
        <w:t>）组织工程初检，并提出整改意见报业主，最后组织工程竣工验收，并由总监签署竣工报告。</w:t>
      </w:r>
    </w:p>
    <w:p w14:paraId="4EC1FAB7">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color w:val="auto"/>
          <w:szCs w:val="21"/>
          <w:highlight w:val="none"/>
          <w:u w:val="single"/>
          <w:lang w:val="zh-CN"/>
        </w:rPr>
      </w:pPr>
      <w:r>
        <w:rPr>
          <w:rFonts w:ascii="宋体" w:hAnsi="宋体"/>
          <w:color w:val="auto"/>
          <w:szCs w:val="21"/>
          <w:highlight w:val="none"/>
          <w:u w:val="single"/>
          <w:lang w:val="zh-CN"/>
        </w:rPr>
        <w:t>10</w:t>
      </w:r>
      <w:r>
        <w:rPr>
          <w:rFonts w:hint="eastAsia" w:ascii="宋体" w:hAnsi="宋体"/>
          <w:color w:val="auto"/>
          <w:szCs w:val="21"/>
          <w:highlight w:val="none"/>
          <w:u w:val="single"/>
          <w:lang w:val="zh-CN"/>
        </w:rPr>
        <w:t>）督促履行工程承包合同，主持协商合同条款变更，调解合同双方的争议。</w:t>
      </w:r>
      <w:r>
        <w:rPr>
          <w:rFonts w:ascii="宋体" w:hAnsi="宋体"/>
          <w:color w:val="auto"/>
          <w:szCs w:val="21"/>
          <w:highlight w:val="none"/>
          <w:u w:val="single"/>
          <w:lang w:val="zh-CN"/>
        </w:rPr>
        <w:t xml:space="preserve"> </w:t>
      </w:r>
    </w:p>
    <w:p w14:paraId="037E2101">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color w:val="auto"/>
          <w:szCs w:val="21"/>
          <w:highlight w:val="none"/>
          <w:u w:val="single"/>
          <w:lang w:val="zh-CN"/>
        </w:rPr>
      </w:pPr>
      <w:r>
        <w:rPr>
          <w:rFonts w:ascii="宋体" w:hAnsi="宋体"/>
          <w:color w:val="auto"/>
          <w:szCs w:val="21"/>
          <w:highlight w:val="none"/>
          <w:u w:val="single"/>
          <w:lang w:val="zh-CN"/>
        </w:rPr>
        <w:t>11</w:t>
      </w:r>
      <w:r>
        <w:rPr>
          <w:rFonts w:hint="eastAsia" w:ascii="宋体" w:hAnsi="宋体"/>
          <w:color w:val="auto"/>
          <w:szCs w:val="21"/>
          <w:highlight w:val="none"/>
          <w:u w:val="single"/>
          <w:lang w:val="zh-CN"/>
        </w:rPr>
        <w:t>）定期报送监理月报，记录监理日志。根据情况需要，不定期出具监理业务范围内的专项报告（包括质量分析报告）。</w:t>
      </w:r>
      <w:r>
        <w:rPr>
          <w:rFonts w:ascii="宋体" w:hAnsi="宋体"/>
          <w:color w:val="auto"/>
          <w:szCs w:val="21"/>
          <w:highlight w:val="none"/>
          <w:u w:val="single"/>
          <w:lang w:val="zh-CN"/>
        </w:rPr>
        <w:t xml:space="preserve"> </w:t>
      </w:r>
    </w:p>
    <w:p w14:paraId="78C91E6C">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color w:val="auto"/>
          <w:szCs w:val="21"/>
          <w:highlight w:val="none"/>
          <w:u w:val="single"/>
          <w:lang w:val="zh-CN"/>
        </w:rPr>
      </w:pPr>
      <w:r>
        <w:rPr>
          <w:rFonts w:ascii="宋体" w:hAnsi="宋体"/>
          <w:color w:val="auto"/>
          <w:szCs w:val="21"/>
          <w:highlight w:val="none"/>
          <w:u w:val="single"/>
          <w:lang w:val="zh-CN"/>
        </w:rPr>
        <w:t>12</w:t>
      </w:r>
      <w:r>
        <w:rPr>
          <w:rFonts w:hint="eastAsia" w:ascii="宋体" w:hAnsi="宋体"/>
          <w:color w:val="auto"/>
          <w:szCs w:val="21"/>
          <w:highlight w:val="none"/>
          <w:u w:val="single"/>
          <w:lang w:val="zh-CN"/>
        </w:rPr>
        <w:t>）督促施工承包单位依约进行工程保修验收。</w:t>
      </w:r>
      <w:r>
        <w:rPr>
          <w:rFonts w:ascii="宋体" w:hAnsi="宋体"/>
          <w:color w:val="auto"/>
          <w:szCs w:val="21"/>
          <w:highlight w:val="none"/>
          <w:u w:val="single"/>
          <w:lang w:val="zh-CN"/>
        </w:rPr>
        <w:t xml:space="preserve"> </w:t>
      </w:r>
    </w:p>
    <w:p w14:paraId="2DC8A1A2">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color w:val="auto"/>
          <w:spacing w:val="-8"/>
          <w:szCs w:val="21"/>
          <w:highlight w:val="none"/>
          <w:u w:val="single"/>
          <w:lang w:val="zh-CN"/>
        </w:rPr>
      </w:pPr>
      <w:r>
        <w:rPr>
          <w:rFonts w:ascii="宋体" w:hAnsi="宋体"/>
          <w:color w:val="auto"/>
          <w:szCs w:val="21"/>
          <w:highlight w:val="none"/>
          <w:u w:val="single"/>
          <w:lang w:val="zh-CN"/>
        </w:rPr>
        <w:t>13</w:t>
      </w:r>
      <w:r>
        <w:rPr>
          <w:rFonts w:hint="eastAsia" w:ascii="宋体" w:hAnsi="宋体"/>
          <w:color w:val="auto"/>
          <w:szCs w:val="21"/>
          <w:highlight w:val="none"/>
          <w:u w:val="single"/>
          <w:lang w:val="zh-CN"/>
        </w:rPr>
        <w:t>）建设监理业务完成后，向项目法人提交三套系统、完整、规范的工程监理资料（含工程监理影像资料）验收存档，同时负责督促施工单位（含所有分包单位）</w:t>
      </w:r>
      <w:r>
        <w:rPr>
          <w:rFonts w:hint="eastAsia" w:ascii="宋体" w:hAnsi="宋体"/>
          <w:color w:val="auto"/>
          <w:spacing w:val="-8"/>
          <w:szCs w:val="21"/>
          <w:highlight w:val="none"/>
          <w:u w:val="single"/>
          <w:lang w:val="zh-CN"/>
        </w:rPr>
        <w:t>完成竣工图及竣工资料（含相关图片、影像资料、电子版等），经核验后归档。</w:t>
      </w:r>
    </w:p>
    <w:p w14:paraId="4A5B1474">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2.2 </w:t>
      </w:r>
      <w:r>
        <w:rPr>
          <w:rFonts w:hint="eastAsia" w:ascii="宋体" w:hAnsi="宋体" w:cs="宋体"/>
          <w:color w:val="auto"/>
          <w:szCs w:val="21"/>
          <w:highlight w:val="none"/>
        </w:rPr>
        <w:t>监理与相关服务依据</w:t>
      </w:r>
    </w:p>
    <w:p w14:paraId="5172C900">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color w:val="auto"/>
          <w:szCs w:val="21"/>
          <w:highlight w:val="none"/>
          <w:u w:val="single"/>
          <w:lang w:val="zh-CN"/>
        </w:rPr>
      </w:pPr>
      <w:r>
        <w:rPr>
          <w:rFonts w:ascii="宋体" w:hAnsi="宋体" w:cs="宋体"/>
          <w:color w:val="auto"/>
          <w:szCs w:val="21"/>
          <w:highlight w:val="none"/>
        </w:rPr>
        <w:t xml:space="preserve">2.2.1 </w:t>
      </w:r>
      <w:r>
        <w:rPr>
          <w:rFonts w:hint="eastAsia" w:ascii="宋体" w:hAnsi="宋体" w:cs="宋体"/>
          <w:color w:val="auto"/>
          <w:szCs w:val="21"/>
          <w:highlight w:val="none"/>
        </w:rPr>
        <w:t>监理依据包括：</w:t>
      </w:r>
      <w:r>
        <w:rPr>
          <w:rFonts w:ascii="宋体" w:hAnsi="宋体"/>
          <w:color w:val="auto"/>
          <w:szCs w:val="21"/>
          <w:highlight w:val="none"/>
          <w:u w:val="single"/>
          <w:lang w:val="zh-CN"/>
        </w:rPr>
        <w:t>1</w:t>
      </w:r>
      <w:r>
        <w:rPr>
          <w:rFonts w:hint="eastAsia" w:ascii="宋体" w:hAnsi="宋体"/>
          <w:color w:val="auto"/>
          <w:szCs w:val="21"/>
          <w:highlight w:val="none"/>
          <w:u w:val="single"/>
          <w:lang w:val="zh-CN"/>
        </w:rPr>
        <w:t>、国家和地方现行的法律、行政法规及部门规章；</w:t>
      </w:r>
      <w:r>
        <w:rPr>
          <w:rFonts w:ascii="宋体" w:hAnsi="宋体"/>
          <w:color w:val="auto"/>
          <w:szCs w:val="21"/>
          <w:highlight w:val="none"/>
          <w:u w:val="single"/>
          <w:lang w:val="zh-CN"/>
        </w:rPr>
        <w:t>2</w:t>
      </w:r>
      <w:r>
        <w:rPr>
          <w:rFonts w:hint="eastAsia" w:ascii="宋体" w:hAnsi="宋体"/>
          <w:color w:val="auto"/>
          <w:szCs w:val="21"/>
          <w:highlight w:val="none"/>
          <w:u w:val="single"/>
          <w:lang w:val="zh-CN"/>
        </w:rPr>
        <w:t>、与工程有关的规范、标准；</w:t>
      </w:r>
      <w:r>
        <w:rPr>
          <w:rFonts w:ascii="宋体" w:hAnsi="宋体"/>
          <w:color w:val="auto"/>
          <w:szCs w:val="21"/>
          <w:highlight w:val="none"/>
          <w:u w:val="single"/>
          <w:lang w:val="zh-CN"/>
        </w:rPr>
        <w:t>3</w:t>
      </w:r>
      <w:r>
        <w:rPr>
          <w:rFonts w:hint="eastAsia" w:ascii="宋体" w:hAnsi="宋体"/>
          <w:color w:val="auto"/>
          <w:szCs w:val="21"/>
          <w:highlight w:val="none"/>
          <w:u w:val="single"/>
          <w:lang w:val="zh-CN"/>
        </w:rPr>
        <w:t>、工程设计图纸及有关文件；</w:t>
      </w:r>
      <w:r>
        <w:rPr>
          <w:rFonts w:ascii="宋体" w:hAnsi="宋体"/>
          <w:color w:val="auto"/>
          <w:szCs w:val="21"/>
          <w:highlight w:val="none"/>
          <w:u w:val="single"/>
          <w:lang w:val="zh-CN"/>
        </w:rPr>
        <w:t>4</w:t>
      </w:r>
      <w:r>
        <w:rPr>
          <w:rFonts w:hint="eastAsia" w:ascii="宋体" w:hAnsi="宋体"/>
          <w:color w:val="auto"/>
          <w:szCs w:val="21"/>
          <w:highlight w:val="none"/>
          <w:u w:val="single"/>
          <w:lang w:val="zh-CN"/>
        </w:rPr>
        <w:t>、本合同及委托人与第三方签订的与实施工程有关的其他合同；</w:t>
      </w:r>
      <w:r>
        <w:rPr>
          <w:rFonts w:ascii="宋体" w:hAnsi="宋体"/>
          <w:color w:val="auto"/>
          <w:szCs w:val="21"/>
          <w:highlight w:val="none"/>
          <w:u w:val="single"/>
          <w:lang w:val="zh-CN"/>
        </w:rPr>
        <w:t>5</w:t>
      </w:r>
      <w:r>
        <w:rPr>
          <w:rFonts w:hint="eastAsia" w:ascii="宋体" w:hAnsi="宋体"/>
          <w:color w:val="auto"/>
          <w:szCs w:val="21"/>
          <w:highlight w:val="none"/>
          <w:u w:val="single"/>
          <w:lang w:val="zh-CN"/>
        </w:rPr>
        <w:t>、工程招、投标文件；</w:t>
      </w:r>
      <w:r>
        <w:rPr>
          <w:rFonts w:ascii="宋体" w:hAnsi="宋体"/>
          <w:color w:val="auto"/>
          <w:szCs w:val="21"/>
          <w:highlight w:val="none"/>
          <w:u w:val="single"/>
          <w:lang w:val="zh-CN"/>
        </w:rPr>
        <w:t>6</w:t>
      </w:r>
      <w:r>
        <w:rPr>
          <w:rFonts w:hint="eastAsia" w:ascii="宋体" w:hAnsi="宋体"/>
          <w:color w:val="auto"/>
          <w:szCs w:val="21"/>
          <w:highlight w:val="none"/>
          <w:u w:val="single"/>
          <w:lang w:val="zh-CN"/>
        </w:rPr>
        <w:t>、工程施工过程中委托人提出的相关要求。</w:t>
      </w:r>
    </w:p>
    <w:p w14:paraId="6E89C8AF">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2.2.2 </w:t>
      </w:r>
      <w:r>
        <w:rPr>
          <w:rFonts w:hint="eastAsia" w:ascii="宋体" w:hAnsi="宋体" w:cs="宋体"/>
          <w:color w:val="auto"/>
          <w:szCs w:val="21"/>
          <w:highlight w:val="none"/>
        </w:rPr>
        <w:t>相关服务依据包括：</w:t>
      </w:r>
      <w:r>
        <w:rPr>
          <w:rFonts w:ascii="宋体" w:hAnsi="宋体" w:cs="宋体"/>
          <w:color w:val="auto"/>
          <w:szCs w:val="21"/>
          <w:highlight w:val="none"/>
          <w:u w:val="single"/>
        </w:rPr>
        <w:t xml:space="preserve">    /   </w:t>
      </w:r>
      <w:r>
        <w:rPr>
          <w:rFonts w:hint="eastAsia" w:ascii="宋体" w:hAnsi="宋体" w:cs="宋体"/>
          <w:color w:val="auto"/>
          <w:szCs w:val="21"/>
          <w:highlight w:val="none"/>
        </w:rPr>
        <w:t>。</w:t>
      </w:r>
    </w:p>
    <w:p w14:paraId="074F9E0B">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cs="宋体"/>
          <w:color w:val="auto"/>
          <w:kern w:val="0"/>
          <w:szCs w:val="21"/>
          <w:highlight w:val="none"/>
        </w:rPr>
      </w:pPr>
      <w:r>
        <w:rPr>
          <w:rFonts w:ascii="宋体" w:hAnsi="宋体" w:cs="宋体"/>
          <w:color w:val="auto"/>
          <w:szCs w:val="21"/>
          <w:highlight w:val="none"/>
        </w:rPr>
        <w:t>2.3</w:t>
      </w:r>
      <w:r>
        <w:rPr>
          <w:rFonts w:hint="eastAsia" w:ascii="宋体" w:hAnsi="宋体" w:cs="宋体"/>
          <w:color w:val="auto"/>
          <w:kern w:val="0"/>
          <w:szCs w:val="21"/>
          <w:highlight w:val="none"/>
        </w:rPr>
        <w:t>项目监理机构和人员</w:t>
      </w:r>
    </w:p>
    <w:p w14:paraId="79AF36C1">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cs="宋体"/>
          <w:color w:val="auto"/>
          <w:kern w:val="0"/>
          <w:szCs w:val="21"/>
          <w:highlight w:val="none"/>
        </w:rPr>
      </w:pPr>
      <w:r>
        <w:rPr>
          <w:rFonts w:ascii="宋体" w:hAnsi="宋体" w:cs="宋体"/>
          <w:color w:val="auto"/>
          <w:szCs w:val="21"/>
          <w:highlight w:val="none"/>
        </w:rPr>
        <w:t xml:space="preserve">2.3.4 </w:t>
      </w:r>
      <w:r>
        <w:rPr>
          <w:rFonts w:hint="eastAsia" w:ascii="宋体" w:hAnsi="宋体" w:cs="宋体"/>
          <w:color w:val="auto"/>
          <w:kern w:val="0"/>
          <w:szCs w:val="21"/>
          <w:highlight w:val="none"/>
        </w:rPr>
        <w:t>更换监理人员的其他情形：</w:t>
      </w:r>
      <w:r>
        <w:rPr>
          <w:rFonts w:ascii="宋体" w:hAnsi="宋体" w:cs="宋体"/>
          <w:color w:val="auto"/>
          <w:kern w:val="0"/>
          <w:szCs w:val="21"/>
          <w:highlight w:val="none"/>
          <w:u w:val="single"/>
        </w:rPr>
        <w:t xml:space="preserve"> </w:t>
      </w:r>
      <w:r>
        <w:rPr>
          <w:rFonts w:hint="eastAsia" w:ascii="宋体" w:hAnsi="宋体"/>
          <w:color w:val="auto"/>
          <w:szCs w:val="21"/>
          <w:highlight w:val="none"/>
          <w:u w:val="single"/>
          <w:lang w:val="zh-CN"/>
        </w:rPr>
        <w:t>替换人员资质及能力须与被替换人员相等，经相关行政部门审核通过，征得委托人同意后方可更换</w:t>
      </w:r>
      <w:r>
        <w:rPr>
          <w:rFonts w:ascii="宋体" w:hAnsi="宋体"/>
          <w:color w:val="auto"/>
          <w:szCs w:val="21"/>
          <w:highlight w:val="none"/>
          <w:u w:val="single"/>
          <w:lang w:val="zh-CN"/>
        </w:rPr>
        <w:t xml:space="preserve">  </w:t>
      </w:r>
      <w:r>
        <w:rPr>
          <w:rFonts w:hint="eastAsia" w:ascii="宋体" w:hAnsi="宋体" w:cs="宋体"/>
          <w:color w:val="auto"/>
          <w:kern w:val="0"/>
          <w:szCs w:val="21"/>
          <w:highlight w:val="none"/>
        </w:rPr>
        <w:t>。</w:t>
      </w:r>
    </w:p>
    <w:p w14:paraId="58169B3E">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cs="宋体"/>
          <w:color w:val="auto"/>
          <w:kern w:val="0"/>
          <w:szCs w:val="21"/>
          <w:highlight w:val="none"/>
        </w:rPr>
      </w:pPr>
      <w:r>
        <w:rPr>
          <w:rFonts w:ascii="宋体" w:hAnsi="宋体" w:cs="宋体"/>
          <w:color w:val="auto"/>
          <w:szCs w:val="21"/>
          <w:highlight w:val="none"/>
        </w:rPr>
        <w:t xml:space="preserve">2.4 </w:t>
      </w:r>
      <w:r>
        <w:rPr>
          <w:rFonts w:hint="eastAsia" w:ascii="宋体" w:hAnsi="宋体" w:cs="宋体"/>
          <w:color w:val="auto"/>
          <w:kern w:val="0"/>
          <w:szCs w:val="21"/>
          <w:highlight w:val="none"/>
        </w:rPr>
        <w:t>履行职责</w:t>
      </w:r>
    </w:p>
    <w:p w14:paraId="7D05D1D8">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2.4.3 </w:t>
      </w:r>
      <w:r>
        <w:rPr>
          <w:rFonts w:hint="eastAsia" w:ascii="宋体" w:hAnsi="宋体" w:cs="宋体"/>
          <w:color w:val="auto"/>
          <w:szCs w:val="21"/>
          <w:highlight w:val="none"/>
        </w:rPr>
        <w:t>对监理人的授权范围：</w:t>
      </w:r>
      <w:r>
        <w:rPr>
          <w:rFonts w:ascii="宋体" w:hAnsi="宋体" w:cs="宋体"/>
          <w:color w:val="auto"/>
          <w:szCs w:val="21"/>
          <w:highlight w:val="none"/>
          <w:u w:val="single"/>
        </w:rPr>
        <w:t xml:space="preserve"> </w:t>
      </w:r>
      <w:r>
        <w:rPr>
          <w:rFonts w:hint="eastAsia" w:ascii="宋体" w:hAnsi="宋体"/>
          <w:color w:val="auto"/>
          <w:szCs w:val="21"/>
          <w:highlight w:val="none"/>
          <w:u w:val="single"/>
        </w:rPr>
        <w:t>在施工阶段对建设工程质量、进度、造价进行控制</w:t>
      </w:r>
      <w:r>
        <w:rPr>
          <w:rFonts w:hint="eastAsia" w:ascii="宋体" w:hAnsi="宋体" w:cs="宋体"/>
          <w:color w:val="auto"/>
          <w:kern w:val="0"/>
          <w:szCs w:val="21"/>
          <w:highlight w:val="none"/>
          <w:u w:val="single"/>
        </w:rPr>
        <w:t>（涉及工程造价的签证、设计变更、技术方案核定等事项须征得委托人书面签证批准）</w:t>
      </w:r>
      <w:r>
        <w:rPr>
          <w:rFonts w:hint="eastAsia" w:ascii="宋体" w:hAnsi="宋体"/>
          <w:color w:val="auto"/>
          <w:szCs w:val="21"/>
          <w:highlight w:val="none"/>
          <w:u w:val="single"/>
        </w:rPr>
        <w:t>，对合同、信息进行管理，对工程建设相关方的关系进行协调，并履行建设工程安全生产管理法定职责的服务活动</w:t>
      </w:r>
      <w:r>
        <w:rPr>
          <w:rFonts w:hint="eastAsia" w:ascii="宋体" w:hAnsi="宋体" w:cs="宋体"/>
          <w:color w:val="auto"/>
          <w:szCs w:val="21"/>
          <w:highlight w:val="none"/>
        </w:rPr>
        <w:t>。</w:t>
      </w:r>
    </w:p>
    <w:p w14:paraId="1A0EC162">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在涉及工程延期</w:t>
      </w:r>
      <w:r>
        <w:rPr>
          <w:rFonts w:ascii="宋体" w:hAnsi="宋体" w:cs="宋体"/>
          <w:color w:val="auto"/>
          <w:szCs w:val="21"/>
          <w:highlight w:val="none"/>
          <w:u w:val="single"/>
        </w:rPr>
        <w:t xml:space="preserve">  / </w:t>
      </w:r>
      <w:r>
        <w:rPr>
          <w:rFonts w:hint="eastAsia" w:ascii="宋体" w:hAnsi="宋体" w:cs="宋体"/>
          <w:color w:val="auto"/>
          <w:szCs w:val="21"/>
          <w:highlight w:val="none"/>
        </w:rPr>
        <w:t>天内和（或）金额</w:t>
      </w:r>
      <w:r>
        <w:rPr>
          <w:rFonts w:ascii="宋体" w:hAnsi="宋体" w:cs="宋体"/>
          <w:color w:val="auto"/>
          <w:szCs w:val="21"/>
          <w:highlight w:val="none"/>
          <w:u w:val="single"/>
        </w:rPr>
        <w:t xml:space="preserve"> / </w:t>
      </w:r>
      <w:r>
        <w:rPr>
          <w:rFonts w:hint="eastAsia" w:ascii="宋体" w:hAnsi="宋体" w:cs="宋体"/>
          <w:color w:val="auto"/>
          <w:szCs w:val="21"/>
          <w:highlight w:val="none"/>
        </w:rPr>
        <w:t>万元内的变更，监理人不需请示委托人即可向承包人发布变更通知。</w:t>
      </w:r>
    </w:p>
    <w:p w14:paraId="2A2BAB1D">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cs="宋体"/>
          <w:color w:val="auto"/>
          <w:szCs w:val="21"/>
          <w:highlight w:val="none"/>
        </w:rPr>
      </w:pPr>
      <w:r>
        <w:rPr>
          <w:rFonts w:ascii="宋体" w:hAnsi="宋体" w:cs="宋体"/>
          <w:color w:val="auto"/>
          <w:kern w:val="0"/>
          <w:szCs w:val="21"/>
          <w:highlight w:val="none"/>
        </w:rPr>
        <w:t xml:space="preserve">2.4.4 </w:t>
      </w:r>
      <w:r>
        <w:rPr>
          <w:rFonts w:hint="eastAsia" w:ascii="宋体" w:hAnsi="宋体" w:cs="宋体"/>
          <w:color w:val="auto"/>
          <w:kern w:val="0"/>
          <w:szCs w:val="21"/>
          <w:highlight w:val="none"/>
        </w:rPr>
        <w:t>监理人有权要求承包人调换其人员</w:t>
      </w:r>
      <w:r>
        <w:rPr>
          <w:rFonts w:hint="eastAsia" w:ascii="宋体" w:hAnsi="宋体" w:cs="宋体"/>
          <w:color w:val="auto"/>
          <w:szCs w:val="21"/>
          <w:highlight w:val="none"/>
        </w:rPr>
        <w:t>的限制条件：</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经甲方同意</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r>
        <w:rPr>
          <w:rFonts w:ascii="宋体" w:hAnsi="宋体" w:cs="宋体"/>
          <w:color w:val="auto"/>
          <w:szCs w:val="21"/>
          <w:highlight w:val="none"/>
        </w:rPr>
        <w:t xml:space="preserve">  </w:t>
      </w:r>
    </w:p>
    <w:p w14:paraId="4894D858">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cs="宋体"/>
          <w:color w:val="auto"/>
          <w:kern w:val="0"/>
          <w:szCs w:val="21"/>
          <w:highlight w:val="none"/>
        </w:rPr>
      </w:pPr>
      <w:r>
        <w:rPr>
          <w:rFonts w:ascii="宋体" w:hAnsi="宋体" w:cs="宋体"/>
          <w:color w:val="auto"/>
          <w:kern w:val="0"/>
          <w:szCs w:val="21"/>
          <w:highlight w:val="none"/>
        </w:rPr>
        <w:t xml:space="preserve">2.5 </w:t>
      </w:r>
      <w:r>
        <w:rPr>
          <w:rFonts w:hint="eastAsia" w:ascii="宋体" w:hAnsi="宋体" w:cs="宋体"/>
          <w:color w:val="auto"/>
          <w:szCs w:val="21"/>
          <w:highlight w:val="none"/>
        </w:rPr>
        <w:t>提交</w:t>
      </w:r>
      <w:r>
        <w:rPr>
          <w:rFonts w:hint="eastAsia" w:ascii="宋体" w:hAnsi="宋体" w:cs="宋体"/>
          <w:color w:val="auto"/>
          <w:kern w:val="0"/>
          <w:szCs w:val="21"/>
          <w:highlight w:val="none"/>
        </w:rPr>
        <w:t>报告</w:t>
      </w:r>
    </w:p>
    <w:p w14:paraId="19A7E4D6">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监理人应提交报告的种类</w:t>
      </w:r>
      <w:r>
        <w:rPr>
          <w:rFonts w:ascii="宋体" w:hAnsi="宋体" w:cs="宋体"/>
          <w:color w:val="auto"/>
          <w:szCs w:val="21"/>
          <w:highlight w:val="none"/>
        </w:rPr>
        <w:t>(</w:t>
      </w:r>
      <w:r>
        <w:rPr>
          <w:rFonts w:hint="eastAsia" w:ascii="宋体" w:hAnsi="宋体" w:cs="宋体"/>
          <w:color w:val="auto"/>
          <w:kern w:val="0"/>
          <w:szCs w:val="21"/>
          <w:highlight w:val="none"/>
        </w:rPr>
        <w:t>包括监理规划、监理月报及约定的专项报告</w:t>
      </w:r>
      <w:r>
        <w:rPr>
          <w:rFonts w:ascii="宋体" w:hAnsi="宋体" w:cs="宋体"/>
          <w:color w:val="auto"/>
          <w:kern w:val="0"/>
          <w:szCs w:val="21"/>
          <w:highlight w:val="none"/>
        </w:rPr>
        <w:t>)</w:t>
      </w:r>
      <w:r>
        <w:rPr>
          <w:rFonts w:hint="eastAsia" w:ascii="宋体" w:hAnsi="宋体" w:cs="宋体"/>
          <w:color w:val="auto"/>
          <w:szCs w:val="21"/>
          <w:highlight w:val="none"/>
        </w:rPr>
        <w:t>、时间和份数</w:t>
      </w:r>
      <w:r>
        <w:rPr>
          <w:rFonts w:hint="eastAsia" w:ascii="宋体" w:hAnsi="宋体" w:cs="宋体"/>
          <w:color w:val="auto"/>
          <w:kern w:val="0"/>
          <w:szCs w:val="21"/>
          <w:highlight w:val="non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第一次会议前提交监理规划，每月的</w:t>
      </w:r>
      <w:r>
        <w:rPr>
          <w:rFonts w:ascii="宋体" w:hAnsi="宋体" w:cs="宋体"/>
          <w:color w:val="auto"/>
          <w:szCs w:val="21"/>
          <w:highlight w:val="none"/>
          <w:u w:val="single"/>
        </w:rPr>
        <w:t xml:space="preserve"> 25 </w:t>
      </w:r>
      <w:r>
        <w:rPr>
          <w:rFonts w:hint="eastAsia" w:ascii="宋体" w:hAnsi="宋体" w:cs="宋体"/>
          <w:color w:val="auto"/>
          <w:szCs w:val="21"/>
          <w:highlight w:val="none"/>
          <w:u w:val="single"/>
        </w:rPr>
        <w:t>日提供监理月报；专项报告在委托人指令下达的第二天</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14:paraId="71E2231E">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cs="宋体"/>
          <w:color w:val="auto"/>
          <w:kern w:val="0"/>
          <w:szCs w:val="21"/>
          <w:highlight w:val="none"/>
        </w:rPr>
      </w:pPr>
      <w:r>
        <w:rPr>
          <w:rFonts w:ascii="宋体" w:hAnsi="宋体" w:cs="宋体"/>
          <w:color w:val="auto"/>
          <w:kern w:val="0"/>
          <w:szCs w:val="21"/>
          <w:highlight w:val="none"/>
        </w:rPr>
        <w:t xml:space="preserve">2.7 </w:t>
      </w:r>
      <w:r>
        <w:rPr>
          <w:rFonts w:hint="eastAsia" w:ascii="宋体" w:hAnsi="宋体" w:cs="宋体"/>
          <w:color w:val="auto"/>
          <w:kern w:val="0"/>
          <w:szCs w:val="21"/>
          <w:highlight w:val="none"/>
        </w:rPr>
        <w:t>使用委托人的财产</w:t>
      </w:r>
    </w:p>
    <w:p w14:paraId="64B1043D">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附录</w:t>
      </w:r>
      <w:r>
        <w:rPr>
          <w:rFonts w:ascii="宋体" w:hAnsi="宋体" w:cs="宋体"/>
          <w:color w:val="auto"/>
          <w:szCs w:val="21"/>
          <w:highlight w:val="none"/>
        </w:rPr>
        <w:t>B</w:t>
      </w:r>
      <w:r>
        <w:rPr>
          <w:rFonts w:hint="eastAsia" w:ascii="宋体" w:hAnsi="宋体" w:cs="宋体"/>
          <w:color w:val="auto"/>
          <w:szCs w:val="21"/>
          <w:highlight w:val="none"/>
        </w:rPr>
        <w:t>中由委托人无偿提供的房屋、设备的所有权属于：</w:t>
      </w:r>
      <w:r>
        <w:rPr>
          <w:rFonts w:ascii="宋体" w:hAnsi="宋体" w:cs="宋体"/>
          <w:color w:val="auto"/>
          <w:szCs w:val="21"/>
          <w:highlight w:val="none"/>
          <w:u w:val="single"/>
        </w:rPr>
        <w:t xml:space="preserve"> </w:t>
      </w:r>
      <w:r>
        <w:rPr>
          <w:rFonts w:hint="eastAsia" w:ascii="宋体" w:hAnsi="宋体"/>
          <w:color w:val="auto"/>
          <w:szCs w:val="21"/>
          <w:highlight w:val="none"/>
          <w:u w:val="single"/>
        </w:rPr>
        <w:t>委托人</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14:paraId="6B8B290D">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监理人应在本合同终止后</w:t>
      </w:r>
      <w:r>
        <w:rPr>
          <w:rFonts w:ascii="宋体" w:hAnsi="宋体" w:cs="宋体"/>
          <w:color w:val="auto"/>
          <w:szCs w:val="21"/>
          <w:highlight w:val="none"/>
          <w:u w:val="single"/>
        </w:rPr>
        <w:t xml:space="preserve"> 30 </w:t>
      </w:r>
      <w:r>
        <w:rPr>
          <w:rFonts w:hint="eastAsia" w:ascii="宋体" w:hAnsi="宋体" w:cs="宋体"/>
          <w:color w:val="auto"/>
          <w:szCs w:val="21"/>
          <w:highlight w:val="none"/>
        </w:rPr>
        <w:t>天内移交委托人无偿提供的房屋、设备，移交的时间和方式为：</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实物验收现场移交</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14:paraId="326C6266">
      <w:pPr>
        <w:pageBreakBefore w:val="0"/>
        <w:widowControl w:val="0"/>
        <w:kinsoku/>
        <w:wordWrap/>
        <w:overflowPunct/>
        <w:topLinePunct w:val="0"/>
        <w:autoSpaceDE/>
        <w:autoSpaceDN/>
        <w:bidi w:val="0"/>
        <w:adjustRightInd w:val="0"/>
        <w:snapToGrid w:val="0"/>
        <w:spacing w:line="360" w:lineRule="auto"/>
        <w:ind w:firstLine="422" w:firstLineChars="200"/>
        <w:jc w:val="left"/>
        <w:textAlignment w:val="auto"/>
        <w:rPr>
          <w:rFonts w:ascii="宋体" w:cs="宋体"/>
          <w:b/>
          <w:color w:val="auto"/>
          <w:szCs w:val="21"/>
          <w:highlight w:val="none"/>
        </w:rPr>
      </w:pPr>
      <w:r>
        <w:rPr>
          <w:rFonts w:ascii="宋体" w:hAnsi="宋体" w:cs="宋体"/>
          <w:b/>
          <w:color w:val="auto"/>
          <w:kern w:val="0"/>
          <w:szCs w:val="21"/>
          <w:highlight w:val="none"/>
        </w:rPr>
        <w:t xml:space="preserve">3. </w:t>
      </w:r>
      <w:r>
        <w:rPr>
          <w:rFonts w:hint="eastAsia" w:ascii="宋体" w:hAnsi="宋体" w:cs="宋体"/>
          <w:b/>
          <w:color w:val="auto"/>
          <w:kern w:val="0"/>
          <w:szCs w:val="21"/>
          <w:highlight w:val="none"/>
        </w:rPr>
        <w:t>委托人义务</w:t>
      </w:r>
      <w:r>
        <w:rPr>
          <w:rFonts w:ascii="宋体" w:hAnsi="宋体" w:cs="宋体"/>
          <w:b/>
          <w:color w:val="auto"/>
          <w:kern w:val="0"/>
          <w:szCs w:val="21"/>
          <w:highlight w:val="none"/>
        </w:rPr>
        <w:t xml:space="preserve">  </w:t>
      </w:r>
    </w:p>
    <w:p w14:paraId="13138A4D">
      <w:pPr>
        <w:pageBreakBefore w:val="0"/>
        <w:widowControl w:val="0"/>
        <w:kinsoku/>
        <w:wordWrap/>
        <w:overflowPunct/>
        <w:topLinePunct w:val="0"/>
        <w:autoSpaceDE/>
        <w:autoSpaceDN/>
        <w:bidi w:val="0"/>
        <w:snapToGrid w:val="0"/>
        <w:spacing w:line="360" w:lineRule="auto"/>
        <w:ind w:firstLine="420" w:firstLineChars="200"/>
        <w:jc w:val="left"/>
        <w:textAlignment w:val="auto"/>
        <w:rPr>
          <w:rFonts w:ascii="宋体" w:cs="宋体"/>
          <w:color w:val="auto"/>
          <w:szCs w:val="21"/>
          <w:highlight w:val="none"/>
        </w:rPr>
      </w:pPr>
      <w:r>
        <w:rPr>
          <w:rFonts w:ascii="宋体" w:hAnsi="宋体" w:cs="宋体"/>
          <w:color w:val="auto"/>
          <w:kern w:val="0"/>
          <w:szCs w:val="21"/>
          <w:highlight w:val="none"/>
        </w:rPr>
        <w:t xml:space="preserve">3.4 </w:t>
      </w:r>
      <w:r>
        <w:rPr>
          <w:rFonts w:hint="eastAsia" w:ascii="宋体" w:hAnsi="宋体" w:cs="宋体"/>
          <w:color w:val="auto"/>
          <w:kern w:val="0"/>
          <w:szCs w:val="21"/>
          <w:highlight w:val="none"/>
        </w:rPr>
        <w:t>委托人代表</w:t>
      </w:r>
    </w:p>
    <w:p w14:paraId="31CECB4F">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cs="宋体"/>
          <w:color w:val="auto"/>
          <w:szCs w:val="21"/>
          <w:highlight w:val="none"/>
          <w:u w:val="single"/>
        </w:rPr>
      </w:pPr>
      <w:r>
        <w:rPr>
          <w:rFonts w:hint="eastAsia" w:ascii="宋体" w:hAnsi="宋体" w:cs="宋体"/>
          <w:color w:val="auto"/>
          <w:szCs w:val="21"/>
          <w:highlight w:val="none"/>
        </w:rPr>
        <w:t>委托人代表为：</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14:paraId="0AE80CC9">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cs="宋体"/>
          <w:color w:val="auto"/>
          <w:kern w:val="0"/>
          <w:szCs w:val="21"/>
          <w:highlight w:val="none"/>
        </w:rPr>
      </w:pPr>
      <w:r>
        <w:rPr>
          <w:rFonts w:ascii="宋体" w:hAnsi="宋体" w:cs="宋体"/>
          <w:color w:val="auto"/>
          <w:kern w:val="0"/>
          <w:szCs w:val="21"/>
          <w:highlight w:val="none"/>
        </w:rPr>
        <w:t xml:space="preserve">3.6 </w:t>
      </w:r>
      <w:r>
        <w:rPr>
          <w:rFonts w:hint="eastAsia" w:ascii="宋体" w:hAnsi="宋体" w:cs="宋体"/>
          <w:color w:val="auto"/>
          <w:kern w:val="0"/>
          <w:szCs w:val="21"/>
          <w:highlight w:val="none"/>
        </w:rPr>
        <w:t>答复</w:t>
      </w:r>
    </w:p>
    <w:p w14:paraId="3CE626E9">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委托人同意在</w:t>
      </w:r>
      <w:r>
        <w:rPr>
          <w:rFonts w:ascii="宋体" w:hAnsi="宋体" w:cs="宋体"/>
          <w:color w:val="auto"/>
          <w:szCs w:val="21"/>
          <w:highlight w:val="none"/>
          <w:u w:val="single"/>
        </w:rPr>
        <w:t xml:space="preserve"> 7 </w:t>
      </w:r>
      <w:r>
        <w:rPr>
          <w:rFonts w:hint="eastAsia" w:ascii="宋体" w:hAnsi="宋体" w:cs="宋体"/>
          <w:color w:val="auto"/>
          <w:szCs w:val="21"/>
          <w:highlight w:val="none"/>
        </w:rPr>
        <w:t>天内，对监理人书面提交并要求做出决定的事宜给予书面答复。</w:t>
      </w:r>
    </w:p>
    <w:p w14:paraId="6C13F9E4">
      <w:pPr>
        <w:pageBreakBefore w:val="0"/>
        <w:widowControl w:val="0"/>
        <w:kinsoku/>
        <w:wordWrap/>
        <w:overflowPunct/>
        <w:topLinePunct w:val="0"/>
        <w:autoSpaceDE/>
        <w:autoSpaceDN/>
        <w:bidi w:val="0"/>
        <w:adjustRightInd w:val="0"/>
        <w:snapToGrid w:val="0"/>
        <w:spacing w:line="360" w:lineRule="auto"/>
        <w:ind w:firstLine="422" w:firstLineChars="200"/>
        <w:jc w:val="left"/>
        <w:textAlignment w:val="auto"/>
        <w:rPr>
          <w:rFonts w:ascii="宋体" w:cs="宋体"/>
          <w:b/>
          <w:bCs/>
          <w:color w:val="auto"/>
          <w:szCs w:val="21"/>
          <w:highlight w:val="none"/>
        </w:rPr>
      </w:pPr>
      <w:r>
        <w:rPr>
          <w:rFonts w:ascii="宋体" w:hAnsi="宋体" w:cs="宋体"/>
          <w:b/>
          <w:bCs/>
          <w:color w:val="auto"/>
          <w:szCs w:val="21"/>
          <w:highlight w:val="none"/>
        </w:rPr>
        <w:t xml:space="preserve">4. </w:t>
      </w:r>
      <w:r>
        <w:rPr>
          <w:rFonts w:hint="eastAsia" w:ascii="宋体" w:hAnsi="宋体" w:cs="宋体"/>
          <w:b/>
          <w:bCs/>
          <w:color w:val="auto"/>
          <w:szCs w:val="21"/>
          <w:highlight w:val="none"/>
        </w:rPr>
        <w:t>违约责任</w:t>
      </w:r>
    </w:p>
    <w:p w14:paraId="7470C17A">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cs="宋体"/>
          <w:color w:val="auto"/>
          <w:kern w:val="0"/>
          <w:szCs w:val="21"/>
          <w:highlight w:val="none"/>
        </w:rPr>
      </w:pPr>
      <w:r>
        <w:rPr>
          <w:rFonts w:ascii="宋体" w:hAnsi="宋体" w:cs="宋体"/>
          <w:color w:val="auto"/>
          <w:kern w:val="0"/>
          <w:szCs w:val="21"/>
          <w:highlight w:val="none"/>
        </w:rPr>
        <w:t xml:space="preserve">4.1 </w:t>
      </w:r>
      <w:r>
        <w:rPr>
          <w:rFonts w:hint="eastAsia" w:ascii="宋体" w:hAnsi="宋体" w:cs="宋体"/>
          <w:color w:val="auto"/>
          <w:kern w:val="0"/>
          <w:szCs w:val="21"/>
          <w:highlight w:val="none"/>
        </w:rPr>
        <w:t>监理人的违约责任</w:t>
      </w:r>
    </w:p>
    <w:p w14:paraId="2087F8A1">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cs="宋体"/>
          <w:color w:val="auto"/>
          <w:kern w:val="0"/>
          <w:szCs w:val="21"/>
          <w:highlight w:val="none"/>
        </w:rPr>
      </w:pPr>
      <w:r>
        <w:rPr>
          <w:rFonts w:ascii="宋体" w:hAnsi="宋体" w:cs="宋体"/>
          <w:color w:val="auto"/>
          <w:kern w:val="0"/>
          <w:szCs w:val="21"/>
          <w:highlight w:val="none"/>
        </w:rPr>
        <w:t>4.1.1</w:t>
      </w:r>
      <w:r>
        <w:rPr>
          <w:rFonts w:hint="eastAsia" w:ascii="宋体" w:hAnsi="宋体" w:cs="宋体"/>
          <w:color w:val="auto"/>
          <w:kern w:val="0"/>
          <w:szCs w:val="21"/>
          <w:highlight w:val="none"/>
        </w:rPr>
        <w:t>监理人赔偿金额按下列方法确定：</w:t>
      </w:r>
    </w:p>
    <w:p w14:paraId="7B5F2303">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cs="宋体"/>
          <w:color w:val="auto"/>
          <w:kern w:val="0"/>
          <w:szCs w:val="21"/>
          <w:highlight w:val="none"/>
        </w:rPr>
      </w:pPr>
      <w:r>
        <w:rPr>
          <w:rFonts w:hint="eastAsia" w:ascii="宋体" w:hAnsi="宋体" w:cs="宋体"/>
          <w:color w:val="auto"/>
          <w:szCs w:val="21"/>
          <w:highlight w:val="none"/>
        </w:rPr>
        <w:t>赔偿金＝直接经济损失×正常工作酬金÷工程概算</w:t>
      </w:r>
      <w:r>
        <w:rPr>
          <w:rFonts w:hint="eastAsia" w:ascii="宋体" w:hAnsi="宋体" w:cs="宋体"/>
          <w:color w:val="auto"/>
          <w:kern w:val="0"/>
          <w:szCs w:val="21"/>
          <w:highlight w:val="none"/>
        </w:rPr>
        <w:t>投资额（或建筑安装工程费）</w:t>
      </w:r>
    </w:p>
    <w:p w14:paraId="17C055A8">
      <w:pPr>
        <w:pageBreakBefore w:val="0"/>
        <w:widowControl w:val="0"/>
        <w:kinsoku/>
        <w:wordWrap/>
        <w:overflowPunct/>
        <w:topLinePunct w:val="0"/>
        <w:autoSpaceDE/>
        <w:autoSpaceDN/>
        <w:bidi w:val="0"/>
        <w:snapToGrid w:val="0"/>
        <w:spacing w:line="360" w:lineRule="auto"/>
        <w:ind w:firstLine="422" w:firstLineChars="200"/>
        <w:jc w:val="left"/>
        <w:textAlignment w:val="auto"/>
        <w:rPr>
          <w:rFonts w:ascii="宋体" w:cs="宋体"/>
          <w:b/>
          <w:color w:val="auto"/>
          <w:szCs w:val="21"/>
          <w:highlight w:val="none"/>
        </w:rPr>
      </w:pPr>
      <w:r>
        <w:rPr>
          <w:rFonts w:ascii="宋体" w:hAnsi="宋体" w:cs="宋体"/>
          <w:b/>
          <w:bCs/>
          <w:color w:val="auto"/>
          <w:szCs w:val="21"/>
          <w:highlight w:val="none"/>
        </w:rPr>
        <w:t xml:space="preserve">5. </w:t>
      </w:r>
      <w:r>
        <w:rPr>
          <w:rFonts w:hint="eastAsia" w:ascii="宋体" w:hAnsi="宋体" w:cs="宋体"/>
          <w:b/>
          <w:bCs/>
          <w:color w:val="auto"/>
          <w:szCs w:val="21"/>
          <w:highlight w:val="none"/>
        </w:rPr>
        <w:t>支付</w:t>
      </w:r>
    </w:p>
    <w:p w14:paraId="4E314687">
      <w:pPr>
        <w:pageBreakBefore w:val="0"/>
        <w:widowControl w:val="0"/>
        <w:kinsoku/>
        <w:wordWrap/>
        <w:overflowPunct/>
        <w:topLinePunct w:val="0"/>
        <w:autoSpaceDE/>
        <w:autoSpaceDN/>
        <w:bidi w:val="0"/>
        <w:snapToGrid w:val="0"/>
        <w:spacing w:line="360" w:lineRule="auto"/>
        <w:ind w:firstLine="420" w:firstLineChars="200"/>
        <w:jc w:val="left"/>
        <w:textAlignment w:val="auto"/>
        <w:rPr>
          <w:rFonts w:ascii="宋体" w:hAnsi="宋体" w:cs="宋体"/>
          <w:bCs/>
          <w:color w:val="auto"/>
          <w:szCs w:val="21"/>
          <w:highlight w:val="none"/>
        </w:rPr>
      </w:pPr>
      <w:r>
        <w:rPr>
          <w:rFonts w:ascii="宋体" w:hAnsi="宋体" w:cs="宋体"/>
          <w:bCs/>
          <w:color w:val="auto"/>
          <w:szCs w:val="21"/>
          <w:highlight w:val="none"/>
        </w:rPr>
        <w:t xml:space="preserve">5.1 </w:t>
      </w:r>
      <w:r>
        <w:rPr>
          <w:rFonts w:hint="eastAsia" w:ascii="宋体" w:hAnsi="宋体" w:cs="宋体"/>
          <w:bCs/>
          <w:color w:val="auto"/>
          <w:szCs w:val="21"/>
          <w:highlight w:val="none"/>
        </w:rPr>
        <w:t>支付</w:t>
      </w:r>
    </w:p>
    <w:p w14:paraId="38C2DC4A">
      <w:pPr>
        <w:pageBreakBefore w:val="0"/>
        <w:widowControl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bCs/>
          <w:color w:val="auto"/>
          <w:szCs w:val="21"/>
          <w:highlight w:val="none"/>
        </w:rPr>
      </w:pPr>
      <w:r>
        <w:rPr>
          <w:rFonts w:hint="eastAsia" w:ascii="宋体" w:hAnsi="宋体" w:cs="宋体"/>
          <w:bCs/>
          <w:color w:val="auto"/>
          <w:szCs w:val="21"/>
          <w:highlight w:val="none"/>
        </w:rPr>
        <w:t>中标价即为合同价。</w:t>
      </w:r>
    </w:p>
    <w:p w14:paraId="7E024328">
      <w:pPr>
        <w:pageBreakBefore w:val="0"/>
        <w:widowControl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最终监理费=</w:t>
      </w:r>
      <w:r>
        <w:rPr>
          <w:rFonts w:hint="eastAsia" w:ascii="宋体" w:hAnsi="宋体" w:eastAsia="宋体" w:cs="宋体"/>
          <w:color w:val="auto"/>
          <w:spacing w:val="-2"/>
          <w:kern w:val="0"/>
          <w:sz w:val="21"/>
          <w:szCs w:val="21"/>
          <w:highlight w:val="none"/>
          <w:u w:val="none"/>
          <w:lang w:val="en-US" w:eastAsia="zh-CN" w:bidi="ar-SA"/>
        </w:rPr>
        <w:t>工程施工结算审定价×监理中标价/</w:t>
      </w:r>
      <w:r>
        <w:rPr>
          <w:rFonts w:hint="eastAsia" w:ascii="宋体" w:hAnsi="宋体" w:cs="宋体"/>
          <w:color w:val="auto"/>
          <w:sz w:val="21"/>
          <w:szCs w:val="21"/>
          <w:highlight w:val="none"/>
          <w:u w:val="none"/>
          <w:lang w:val="en-US" w:eastAsia="zh-CN"/>
        </w:rPr>
        <w:t>1686</w:t>
      </w:r>
      <w:r>
        <w:rPr>
          <w:rFonts w:hint="eastAsia" w:ascii="宋体" w:hAnsi="宋体" w:eastAsia="宋体" w:cs="宋体"/>
          <w:color w:val="auto"/>
          <w:spacing w:val="-2"/>
          <w:kern w:val="0"/>
          <w:sz w:val="21"/>
          <w:szCs w:val="21"/>
          <w:highlight w:val="none"/>
          <w:u w:val="none"/>
          <w:lang w:val="en-US" w:eastAsia="zh-CN" w:bidi="ar-SA"/>
        </w:rPr>
        <w:t>万元</w:t>
      </w:r>
      <w:r>
        <w:rPr>
          <w:rFonts w:hint="eastAsia" w:ascii="宋体" w:hAnsi="宋体" w:cs="宋体"/>
          <w:bCs/>
          <w:color w:val="auto"/>
          <w:szCs w:val="21"/>
          <w:highlight w:val="none"/>
        </w:rPr>
        <w:t>，公式中的金额单位为万元。如最终监理结算价小于合同价，则按实支付；如最终监理结算价不小于合同价，则按合同价支付。</w:t>
      </w:r>
    </w:p>
    <w:p w14:paraId="5C22FF7C">
      <w:pPr>
        <w:pageBreakBefore w:val="0"/>
        <w:widowControl w:val="0"/>
        <w:kinsoku/>
        <w:wordWrap/>
        <w:overflowPunct/>
        <w:topLinePunct w:val="0"/>
        <w:autoSpaceDE/>
        <w:autoSpaceDN/>
        <w:bidi w:val="0"/>
        <w:snapToGrid w:val="0"/>
        <w:spacing w:line="360" w:lineRule="auto"/>
        <w:ind w:firstLine="420" w:firstLineChars="200"/>
        <w:jc w:val="left"/>
        <w:textAlignment w:val="auto"/>
        <w:rPr>
          <w:rFonts w:ascii="宋体" w:cs="宋体"/>
          <w:bCs/>
          <w:color w:val="auto"/>
          <w:szCs w:val="21"/>
          <w:highlight w:val="none"/>
        </w:rPr>
      </w:pPr>
      <w:r>
        <w:rPr>
          <w:rFonts w:ascii="宋体" w:hAnsi="宋体" w:cs="宋体"/>
          <w:bCs/>
          <w:color w:val="auto"/>
          <w:szCs w:val="21"/>
          <w:highlight w:val="none"/>
        </w:rPr>
        <w:t xml:space="preserve">5.2 </w:t>
      </w:r>
      <w:r>
        <w:rPr>
          <w:rFonts w:hint="eastAsia" w:ascii="宋体" w:hAnsi="宋体" w:cs="宋体"/>
          <w:bCs/>
          <w:color w:val="auto"/>
          <w:szCs w:val="21"/>
          <w:highlight w:val="none"/>
        </w:rPr>
        <w:t>监理费支付进度</w:t>
      </w:r>
      <w:r>
        <w:rPr>
          <w:rFonts w:ascii="宋体" w:hAnsi="宋体" w:cs="宋体"/>
          <w:bCs/>
          <w:color w:val="auto"/>
          <w:szCs w:val="21"/>
          <w:highlight w:val="none"/>
        </w:rPr>
        <w:t xml:space="preserve"> </w:t>
      </w:r>
    </w:p>
    <w:p w14:paraId="3C1FBFBA">
      <w:pPr>
        <w:pageBreakBefore w:val="0"/>
        <w:widowControl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bCs/>
          <w:color w:val="auto"/>
          <w:szCs w:val="21"/>
          <w:highlight w:val="none"/>
        </w:rPr>
      </w:pPr>
      <w:r>
        <w:rPr>
          <w:rFonts w:hint="eastAsia" w:ascii="宋体" w:hAnsi="宋体" w:cs="宋体"/>
          <w:bCs/>
          <w:color w:val="auto"/>
          <w:szCs w:val="21"/>
          <w:highlight w:val="none"/>
        </w:rPr>
        <w:t>工程竣工验收合格且监理资料归档完成后付至监理费的</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 xml:space="preserve">0%，工程结算审计结束后付至监理费的97%，余款在缺陷责任期满后一个月内无息付清。所有款项支付均需要出具正式税务发票方能支付。 </w:t>
      </w:r>
    </w:p>
    <w:p w14:paraId="00E91917">
      <w:pPr>
        <w:pageBreakBefore w:val="0"/>
        <w:widowControl w:val="0"/>
        <w:kinsoku/>
        <w:wordWrap/>
        <w:overflowPunct/>
        <w:topLinePunct w:val="0"/>
        <w:autoSpaceDE/>
        <w:autoSpaceDN/>
        <w:bidi w:val="0"/>
        <w:snapToGrid w:val="0"/>
        <w:spacing w:line="360" w:lineRule="auto"/>
        <w:ind w:firstLine="420" w:firstLineChars="200"/>
        <w:jc w:val="left"/>
        <w:textAlignment w:val="auto"/>
        <w:rPr>
          <w:rFonts w:hint="eastAsia" w:ascii="宋体" w:hAnsi="宋体" w:cs="宋体"/>
          <w:bCs/>
          <w:color w:val="auto"/>
          <w:szCs w:val="21"/>
          <w:highlight w:val="none"/>
        </w:rPr>
      </w:pPr>
      <w:r>
        <w:rPr>
          <w:rFonts w:hint="eastAsia" w:ascii="宋体" w:hAnsi="宋体" w:cs="宋体"/>
          <w:bCs/>
          <w:color w:val="auto"/>
          <w:szCs w:val="21"/>
          <w:highlight w:val="none"/>
        </w:rPr>
        <w:t xml:space="preserve">监理费不因工期长短等原因而调整。 </w:t>
      </w:r>
    </w:p>
    <w:p w14:paraId="14715C6F">
      <w:pPr>
        <w:pageBreakBefore w:val="0"/>
        <w:widowControl w:val="0"/>
        <w:kinsoku/>
        <w:wordWrap/>
        <w:overflowPunct/>
        <w:topLinePunct w:val="0"/>
        <w:autoSpaceDE/>
        <w:autoSpaceDN/>
        <w:bidi w:val="0"/>
        <w:snapToGrid w:val="0"/>
        <w:spacing w:line="360" w:lineRule="auto"/>
        <w:ind w:firstLine="420" w:firstLineChars="200"/>
        <w:jc w:val="left"/>
        <w:textAlignment w:val="auto"/>
        <w:rPr>
          <w:rFonts w:ascii="宋体" w:cs="宋体"/>
          <w:b/>
          <w:bCs/>
          <w:color w:val="auto"/>
          <w:szCs w:val="21"/>
          <w:highlight w:val="none"/>
        </w:rPr>
      </w:pPr>
      <w:r>
        <w:rPr>
          <w:rFonts w:ascii="宋体" w:hAnsi="宋体" w:cs="宋体"/>
          <w:bCs/>
          <w:color w:val="auto"/>
          <w:szCs w:val="21"/>
          <w:highlight w:val="none"/>
        </w:rPr>
        <w:t>6</w:t>
      </w:r>
      <w:r>
        <w:rPr>
          <w:rFonts w:ascii="宋体" w:hAnsi="宋体" w:cs="宋体"/>
          <w:b/>
          <w:bCs/>
          <w:color w:val="auto"/>
          <w:szCs w:val="21"/>
          <w:highlight w:val="none"/>
        </w:rPr>
        <w:t xml:space="preserve">. </w:t>
      </w:r>
      <w:r>
        <w:rPr>
          <w:rFonts w:hint="eastAsia" w:ascii="宋体" w:hAnsi="宋体" w:cs="宋体"/>
          <w:b/>
          <w:bCs/>
          <w:color w:val="auto"/>
          <w:szCs w:val="21"/>
          <w:highlight w:val="none"/>
        </w:rPr>
        <w:t>合同生效、变更、暂停、解除与终止</w:t>
      </w:r>
    </w:p>
    <w:p w14:paraId="7AD55BCF">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6.1 </w:t>
      </w:r>
      <w:r>
        <w:rPr>
          <w:rFonts w:hint="eastAsia" w:ascii="宋体" w:hAnsi="宋体" w:cs="宋体"/>
          <w:color w:val="auto"/>
          <w:szCs w:val="21"/>
          <w:highlight w:val="none"/>
        </w:rPr>
        <w:t>生效</w:t>
      </w:r>
    </w:p>
    <w:p w14:paraId="266EE226">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本合同生效条件：</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双方签字盖章后生效</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14:paraId="36807E2D">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6.2 </w:t>
      </w:r>
      <w:r>
        <w:rPr>
          <w:rFonts w:hint="eastAsia" w:ascii="宋体" w:hAnsi="宋体" w:cs="宋体"/>
          <w:color w:val="auto"/>
          <w:szCs w:val="21"/>
          <w:highlight w:val="none"/>
        </w:rPr>
        <w:t>变更</w:t>
      </w:r>
    </w:p>
    <w:p w14:paraId="22BB168F">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6.2.1 </w:t>
      </w:r>
      <w:r>
        <w:rPr>
          <w:rFonts w:hint="eastAsia" w:ascii="宋体" w:hAnsi="宋体" w:cs="宋体"/>
          <w:color w:val="auto"/>
          <w:szCs w:val="21"/>
          <w:highlight w:val="none"/>
        </w:rPr>
        <w:t>工期延期监理费调整计算方法：</w:t>
      </w:r>
      <w:r>
        <w:rPr>
          <w:rFonts w:hint="eastAsia" w:ascii="宋体" w:hAnsi="宋体" w:cs="宋体"/>
          <w:color w:val="auto"/>
          <w:szCs w:val="21"/>
          <w:highlight w:val="none"/>
          <w:u w:val="single"/>
        </w:rPr>
        <w:t>不调整</w:t>
      </w:r>
      <w:r>
        <w:rPr>
          <w:rFonts w:hint="eastAsia" w:ascii="宋体" w:hAnsi="宋体" w:cs="宋体"/>
          <w:color w:val="auto"/>
          <w:szCs w:val="21"/>
          <w:highlight w:val="none"/>
        </w:rPr>
        <w:t>。</w:t>
      </w:r>
      <w:r>
        <w:rPr>
          <w:rFonts w:ascii="宋体" w:hAnsi="宋体" w:cs="宋体"/>
          <w:color w:val="auto"/>
          <w:szCs w:val="21"/>
          <w:highlight w:val="none"/>
        </w:rPr>
        <w:t xml:space="preserve"> </w:t>
      </w:r>
    </w:p>
    <w:p w14:paraId="2CCBB8A9">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6.2.6 </w:t>
      </w:r>
      <w:r>
        <w:rPr>
          <w:rFonts w:hint="eastAsia" w:ascii="宋体" w:hAnsi="宋体" w:cs="宋体"/>
          <w:color w:val="auto"/>
          <w:szCs w:val="21"/>
          <w:highlight w:val="none"/>
        </w:rPr>
        <w:t>因工程规模、监理范围的变化导致监理人的正常工作量减少时，按减少工作量的比例从协议书约定的正常工作费用中扣减相同比例的监理费。</w:t>
      </w:r>
      <w:r>
        <w:rPr>
          <w:rFonts w:ascii="宋体" w:hAnsi="宋体" w:cs="宋体"/>
          <w:color w:val="auto"/>
          <w:szCs w:val="21"/>
          <w:highlight w:val="none"/>
        </w:rPr>
        <w:t xml:space="preserve"> </w:t>
      </w:r>
    </w:p>
    <w:p w14:paraId="4BAB4812">
      <w:pPr>
        <w:pageBreakBefore w:val="0"/>
        <w:widowControl w:val="0"/>
        <w:kinsoku/>
        <w:wordWrap/>
        <w:overflowPunct/>
        <w:topLinePunct w:val="0"/>
        <w:autoSpaceDE/>
        <w:autoSpaceDN/>
        <w:bidi w:val="0"/>
        <w:snapToGrid w:val="0"/>
        <w:spacing w:line="360" w:lineRule="auto"/>
        <w:ind w:firstLine="422" w:firstLineChars="200"/>
        <w:jc w:val="left"/>
        <w:textAlignment w:val="auto"/>
        <w:rPr>
          <w:rFonts w:ascii="宋体" w:cs="宋体"/>
          <w:b/>
          <w:color w:val="auto"/>
          <w:szCs w:val="21"/>
          <w:highlight w:val="none"/>
        </w:rPr>
      </w:pPr>
      <w:r>
        <w:rPr>
          <w:rFonts w:ascii="宋体" w:hAnsi="宋体" w:cs="宋体"/>
          <w:b/>
          <w:bCs/>
          <w:color w:val="auto"/>
          <w:szCs w:val="21"/>
          <w:highlight w:val="none"/>
        </w:rPr>
        <w:t xml:space="preserve">7. </w:t>
      </w:r>
      <w:r>
        <w:rPr>
          <w:rFonts w:hint="eastAsia" w:ascii="宋体" w:hAnsi="宋体" w:cs="宋体"/>
          <w:b/>
          <w:bCs/>
          <w:color w:val="auto"/>
          <w:szCs w:val="21"/>
          <w:highlight w:val="none"/>
        </w:rPr>
        <w:t>争议解决</w:t>
      </w:r>
    </w:p>
    <w:p w14:paraId="4BDEACE1">
      <w:pPr>
        <w:pageBreakBefore w:val="0"/>
        <w:widowControl w:val="0"/>
        <w:kinsoku/>
        <w:wordWrap/>
        <w:overflowPunct/>
        <w:topLinePunct w:val="0"/>
        <w:autoSpaceDE/>
        <w:autoSpaceDN/>
        <w:bidi w:val="0"/>
        <w:snapToGrid w:val="0"/>
        <w:spacing w:line="360" w:lineRule="auto"/>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7.2 </w:t>
      </w:r>
      <w:r>
        <w:rPr>
          <w:rFonts w:hint="eastAsia" w:ascii="宋体" w:hAnsi="宋体" w:cs="宋体"/>
          <w:bCs/>
          <w:color w:val="auto"/>
          <w:szCs w:val="21"/>
          <w:highlight w:val="none"/>
        </w:rPr>
        <w:t>调解</w:t>
      </w:r>
    </w:p>
    <w:p w14:paraId="5922EC0F">
      <w:pPr>
        <w:pageBreakBefore w:val="0"/>
        <w:widowControl w:val="0"/>
        <w:kinsoku/>
        <w:wordWrap/>
        <w:overflowPunct/>
        <w:topLinePunct w:val="0"/>
        <w:autoSpaceDE/>
        <w:autoSpaceDN/>
        <w:bidi w:val="0"/>
        <w:snapToGrid w:val="0"/>
        <w:spacing w:line="360" w:lineRule="auto"/>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本合同争议进行调解时，可提交</w:t>
      </w:r>
      <w:r>
        <w:rPr>
          <w:rFonts w:ascii="宋体" w:hAnsi="宋体" w:cs="宋体"/>
          <w:color w:val="auto"/>
          <w:szCs w:val="21"/>
          <w:highlight w:val="none"/>
          <w:u w:val="single"/>
        </w:rPr>
        <w:t xml:space="preserve"> </w:t>
      </w:r>
      <w:r>
        <w:rPr>
          <w:rFonts w:hint="eastAsia" w:ascii="宋体" w:hAnsi="宋体"/>
          <w:color w:val="auto"/>
          <w:szCs w:val="21"/>
          <w:highlight w:val="none"/>
          <w:u w:val="single"/>
        </w:rPr>
        <w:t>工程所在地建设主管部门</w:t>
      </w:r>
      <w:r>
        <w:rPr>
          <w:rFonts w:ascii="宋体" w:hAnsi="宋体" w:cs="宋体"/>
          <w:color w:val="auto"/>
          <w:szCs w:val="21"/>
          <w:highlight w:val="none"/>
          <w:u w:val="single"/>
        </w:rPr>
        <w:t xml:space="preserve"> </w:t>
      </w:r>
      <w:r>
        <w:rPr>
          <w:rFonts w:hint="eastAsia" w:ascii="宋体" w:hAnsi="宋体" w:cs="宋体"/>
          <w:color w:val="auto"/>
          <w:szCs w:val="21"/>
          <w:highlight w:val="none"/>
        </w:rPr>
        <w:t>进行调解。</w:t>
      </w:r>
    </w:p>
    <w:p w14:paraId="5907754C">
      <w:pPr>
        <w:pageBreakBefore w:val="0"/>
        <w:widowControl w:val="0"/>
        <w:kinsoku/>
        <w:wordWrap/>
        <w:overflowPunct/>
        <w:topLinePunct w:val="0"/>
        <w:autoSpaceDE/>
        <w:autoSpaceDN/>
        <w:bidi w:val="0"/>
        <w:snapToGrid w:val="0"/>
        <w:spacing w:line="360" w:lineRule="auto"/>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7.3 </w:t>
      </w:r>
      <w:r>
        <w:rPr>
          <w:rFonts w:hint="eastAsia" w:ascii="宋体" w:hAnsi="宋体" w:cs="宋体"/>
          <w:bCs/>
          <w:color w:val="auto"/>
          <w:szCs w:val="21"/>
          <w:highlight w:val="none"/>
        </w:rPr>
        <w:t>仲裁或诉讼</w:t>
      </w:r>
    </w:p>
    <w:p w14:paraId="00114048">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合同争议的最终解决方式为下列第</w:t>
      </w:r>
      <w:r>
        <w:rPr>
          <w:rFonts w:hint="eastAsia" w:ascii="宋体" w:hAnsi="宋体" w:cs="宋体"/>
          <w:color w:val="auto"/>
          <w:szCs w:val="21"/>
          <w:highlight w:val="none"/>
          <w:u w:val="single"/>
        </w:rPr>
        <w:t>（</w:t>
      </w:r>
      <w:r>
        <w:rPr>
          <w:rFonts w:ascii="宋体" w:hAnsi="宋体" w:cs="宋体"/>
          <w:color w:val="auto"/>
          <w:szCs w:val="21"/>
          <w:highlight w:val="none"/>
          <w:u w:val="single"/>
        </w:rPr>
        <w:t>2</w:t>
      </w:r>
      <w:r>
        <w:rPr>
          <w:rFonts w:hint="eastAsia" w:ascii="宋体" w:hAnsi="宋体" w:cs="宋体"/>
          <w:color w:val="auto"/>
          <w:szCs w:val="21"/>
          <w:highlight w:val="none"/>
          <w:u w:val="single"/>
        </w:rPr>
        <w:t>）</w:t>
      </w:r>
      <w:r>
        <w:rPr>
          <w:rFonts w:hint="eastAsia" w:ascii="宋体" w:hAnsi="宋体" w:cs="宋体"/>
          <w:color w:val="auto"/>
          <w:szCs w:val="21"/>
          <w:highlight w:val="none"/>
        </w:rPr>
        <w:t>种方式：</w:t>
      </w:r>
    </w:p>
    <w:p w14:paraId="17CD5792">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）提请</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扬州</w:t>
      </w:r>
      <w:r>
        <w:rPr>
          <w:rFonts w:ascii="宋体" w:hAnsi="宋体" w:cs="宋体"/>
          <w:color w:val="auto"/>
          <w:szCs w:val="21"/>
          <w:highlight w:val="none"/>
          <w:u w:val="single"/>
        </w:rPr>
        <w:t xml:space="preserve"> </w:t>
      </w:r>
      <w:r>
        <w:rPr>
          <w:rFonts w:hint="eastAsia" w:ascii="宋体" w:hAnsi="宋体" w:cs="宋体"/>
          <w:color w:val="auto"/>
          <w:szCs w:val="21"/>
          <w:highlight w:val="none"/>
        </w:rPr>
        <w:t>仲裁委员会进行仲裁。</w:t>
      </w:r>
    </w:p>
    <w:p w14:paraId="2163FB63">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）向</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项目所在地</w:t>
      </w:r>
      <w:r>
        <w:rPr>
          <w:rFonts w:ascii="宋体" w:hAnsi="宋体" w:cs="宋体"/>
          <w:color w:val="auto"/>
          <w:szCs w:val="21"/>
          <w:highlight w:val="none"/>
          <w:u w:val="single"/>
        </w:rPr>
        <w:t xml:space="preserve"> </w:t>
      </w:r>
      <w:r>
        <w:rPr>
          <w:rFonts w:hint="eastAsia" w:ascii="宋体" w:hAnsi="宋体" w:cs="宋体"/>
          <w:color w:val="auto"/>
          <w:szCs w:val="21"/>
          <w:highlight w:val="none"/>
        </w:rPr>
        <w:t>人民法院提起诉讼。</w:t>
      </w:r>
    </w:p>
    <w:p w14:paraId="6FFA7036">
      <w:pPr>
        <w:pageBreakBefore w:val="0"/>
        <w:widowControl w:val="0"/>
        <w:kinsoku/>
        <w:wordWrap/>
        <w:overflowPunct/>
        <w:topLinePunct w:val="0"/>
        <w:autoSpaceDE/>
        <w:autoSpaceDN/>
        <w:bidi w:val="0"/>
        <w:adjustRightInd w:val="0"/>
        <w:snapToGrid w:val="0"/>
        <w:spacing w:line="360" w:lineRule="auto"/>
        <w:ind w:firstLine="422" w:firstLineChars="200"/>
        <w:jc w:val="left"/>
        <w:textAlignment w:val="auto"/>
        <w:rPr>
          <w:rFonts w:ascii="宋体" w:cs="宋体"/>
          <w:b/>
          <w:bCs/>
          <w:color w:val="auto"/>
          <w:szCs w:val="21"/>
          <w:highlight w:val="none"/>
        </w:rPr>
      </w:pPr>
      <w:r>
        <w:rPr>
          <w:rFonts w:ascii="宋体" w:hAnsi="宋体" w:cs="宋体"/>
          <w:b/>
          <w:bCs/>
          <w:color w:val="auto"/>
          <w:szCs w:val="21"/>
          <w:highlight w:val="none"/>
        </w:rPr>
        <w:t xml:space="preserve">8. </w:t>
      </w:r>
      <w:r>
        <w:rPr>
          <w:rFonts w:hint="eastAsia" w:ascii="宋体" w:hAnsi="宋体" w:cs="宋体"/>
          <w:b/>
          <w:bCs/>
          <w:color w:val="auto"/>
          <w:szCs w:val="21"/>
          <w:highlight w:val="none"/>
        </w:rPr>
        <w:t>其他</w:t>
      </w:r>
    </w:p>
    <w:p w14:paraId="15E9E7BC">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cs="宋体"/>
          <w:bCs/>
          <w:color w:val="auto"/>
          <w:szCs w:val="21"/>
          <w:highlight w:val="none"/>
        </w:rPr>
      </w:pPr>
      <w:r>
        <w:rPr>
          <w:rFonts w:ascii="宋体" w:hAnsi="宋体" w:cs="宋体"/>
          <w:bCs/>
          <w:color w:val="auto"/>
          <w:szCs w:val="21"/>
          <w:highlight w:val="none"/>
        </w:rPr>
        <w:t xml:space="preserve">8.2 </w:t>
      </w:r>
      <w:r>
        <w:rPr>
          <w:rFonts w:hint="eastAsia" w:ascii="宋体" w:hAnsi="宋体" w:cs="宋体"/>
          <w:bCs/>
          <w:color w:val="auto"/>
          <w:szCs w:val="21"/>
          <w:highlight w:val="none"/>
        </w:rPr>
        <w:t>检测费用</w:t>
      </w:r>
    </w:p>
    <w:p w14:paraId="27B3CDD4">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cs="宋体"/>
          <w:bCs/>
          <w:color w:val="auto"/>
          <w:szCs w:val="21"/>
          <w:highlight w:val="none"/>
        </w:rPr>
      </w:pPr>
      <w:r>
        <w:rPr>
          <w:rFonts w:hint="eastAsia" w:ascii="宋体" w:hAnsi="宋体" w:cs="宋体"/>
          <w:bCs/>
          <w:color w:val="auto"/>
          <w:szCs w:val="21"/>
          <w:highlight w:val="none"/>
        </w:rPr>
        <w:t>委托人应在检测工作完成后</w:t>
      </w:r>
      <w:r>
        <w:rPr>
          <w:rFonts w:ascii="宋体" w:hAnsi="宋体" w:cs="宋体"/>
          <w:color w:val="auto"/>
          <w:szCs w:val="21"/>
          <w:highlight w:val="none"/>
          <w:u w:val="single"/>
        </w:rPr>
        <w:t xml:space="preserve">  /  </w:t>
      </w:r>
      <w:r>
        <w:rPr>
          <w:rFonts w:hint="eastAsia" w:ascii="宋体" w:hAnsi="宋体" w:cs="宋体"/>
          <w:bCs/>
          <w:color w:val="auto"/>
          <w:szCs w:val="21"/>
          <w:highlight w:val="none"/>
        </w:rPr>
        <w:t>天内支付检测费用。</w:t>
      </w:r>
    </w:p>
    <w:p w14:paraId="1AB16C91">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cs="宋体"/>
          <w:bCs/>
          <w:color w:val="auto"/>
          <w:szCs w:val="21"/>
          <w:highlight w:val="none"/>
        </w:rPr>
      </w:pPr>
      <w:r>
        <w:rPr>
          <w:rFonts w:ascii="宋体" w:hAnsi="宋体" w:cs="宋体"/>
          <w:bCs/>
          <w:color w:val="auto"/>
          <w:szCs w:val="21"/>
          <w:highlight w:val="none"/>
        </w:rPr>
        <w:t xml:space="preserve">8.3 </w:t>
      </w:r>
      <w:r>
        <w:rPr>
          <w:rFonts w:hint="eastAsia" w:ascii="宋体" w:hAnsi="宋体" w:cs="宋体"/>
          <w:bCs/>
          <w:color w:val="auto"/>
          <w:szCs w:val="21"/>
          <w:highlight w:val="none"/>
        </w:rPr>
        <w:t>咨询费用</w:t>
      </w:r>
    </w:p>
    <w:p w14:paraId="3D93A714">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cs="宋体"/>
          <w:bCs/>
          <w:color w:val="auto"/>
          <w:szCs w:val="21"/>
          <w:highlight w:val="none"/>
        </w:rPr>
      </w:pPr>
      <w:r>
        <w:rPr>
          <w:rFonts w:hint="eastAsia" w:ascii="宋体" w:hAnsi="宋体" w:cs="宋体"/>
          <w:bCs/>
          <w:color w:val="auto"/>
          <w:szCs w:val="21"/>
          <w:highlight w:val="none"/>
        </w:rPr>
        <w:t>委托人应在咨询工作完成后</w:t>
      </w:r>
      <w:r>
        <w:rPr>
          <w:rFonts w:ascii="宋体" w:hAnsi="宋体" w:cs="宋体"/>
          <w:color w:val="auto"/>
          <w:szCs w:val="21"/>
          <w:highlight w:val="none"/>
          <w:u w:val="single"/>
        </w:rPr>
        <w:t xml:space="preserve">  /  </w:t>
      </w:r>
      <w:r>
        <w:rPr>
          <w:rFonts w:hint="eastAsia" w:ascii="宋体" w:hAnsi="宋体" w:cs="宋体"/>
          <w:bCs/>
          <w:color w:val="auto"/>
          <w:szCs w:val="21"/>
          <w:highlight w:val="none"/>
        </w:rPr>
        <w:t>天内支付咨询费用。</w:t>
      </w:r>
    </w:p>
    <w:p w14:paraId="4AF62AC1">
      <w:pPr>
        <w:pageBreakBefore w:val="0"/>
        <w:widowControl w:val="0"/>
        <w:kinsoku/>
        <w:wordWrap/>
        <w:overflowPunct/>
        <w:topLinePunct w:val="0"/>
        <w:autoSpaceDE/>
        <w:autoSpaceDN/>
        <w:bidi w:val="0"/>
        <w:snapToGrid w:val="0"/>
        <w:spacing w:line="360" w:lineRule="auto"/>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8.4 </w:t>
      </w:r>
      <w:r>
        <w:rPr>
          <w:rFonts w:hint="eastAsia" w:ascii="宋体" w:hAnsi="宋体" w:cs="宋体"/>
          <w:color w:val="auto"/>
          <w:szCs w:val="21"/>
          <w:highlight w:val="none"/>
        </w:rPr>
        <w:t>奖励</w:t>
      </w:r>
    </w:p>
    <w:p w14:paraId="4B7EA67D">
      <w:pPr>
        <w:pageBreakBefore w:val="0"/>
        <w:widowControl w:val="0"/>
        <w:kinsoku/>
        <w:wordWrap/>
        <w:overflowPunct/>
        <w:topLinePunct w:val="0"/>
        <w:autoSpaceDE/>
        <w:autoSpaceDN/>
        <w:bidi w:val="0"/>
        <w:snapToGrid w:val="0"/>
        <w:spacing w:line="360" w:lineRule="auto"/>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合理化建议的奖励金额按下列方法确定为：</w:t>
      </w:r>
    </w:p>
    <w:p w14:paraId="0B752E9B">
      <w:pPr>
        <w:pageBreakBefore w:val="0"/>
        <w:widowControl w:val="0"/>
        <w:kinsoku/>
        <w:wordWrap/>
        <w:overflowPunct/>
        <w:topLinePunct w:val="0"/>
        <w:autoSpaceDE/>
        <w:autoSpaceDN/>
        <w:bidi w:val="0"/>
        <w:snapToGrid w:val="0"/>
        <w:spacing w:line="360" w:lineRule="auto"/>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奖励金额＝工程投资节省额×奖励金额的比率；</w:t>
      </w:r>
    </w:p>
    <w:p w14:paraId="415D3621">
      <w:pPr>
        <w:pageBreakBefore w:val="0"/>
        <w:widowControl w:val="0"/>
        <w:kinsoku/>
        <w:wordWrap/>
        <w:overflowPunct/>
        <w:topLinePunct w:val="0"/>
        <w:autoSpaceDE/>
        <w:autoSpaceDN/>
        <w:bidi w:val="0"/>
        <w:snapToGrid w:val="0"/>
        <w:spacing w:line="360" w:lineRule="auto"/>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奖励金额的比率为</w:t>
      </w:r>
      <w:r>
        <w:rPr>
          <w:rFonts w:ascii="宋体" w:hAnsi="宋体" w:cs="宋体"/>
          <w:color w:val="auto"/>
          <w:szCs w:val="21"/>
          <w:highlight w:val="none"/>
          <w:u w:val="single"/>
        </w:rPr>
        <w:t xml:space="preserve">  /  </w:t>
      </w:r>
      <w:r>
        <w:rPr>
          <w:rFonts w:ascii="宋体" w:hAnsi="宋体" w:cs="宋体"/>
          <w:color w:val="auto"/>
          <w:szCs w:val="21"/>
          <w:highlight w:val="none"/>
        </w:rPr>
        <w:t>%</w:t>
      </w:r>
      <w:r>
        <w:rPr>
          <w:rFonts w:hint="eastAsia" w:ascii="宋体" w:hAnsi="宋体" w:cs="宋体"/>
          <w:color w:val="auto"/>
          <w:szCs w:val="21"/>
          <w:highlight w:val="none"/>
        </w:rPr>
        <w:t>。</w:t>
      </w:r>
    </w:p>
    <w:p w14:paraId="7C2909B2">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8.6 </w:t>
      </w:r>
      <w:r>
        <w:rPr>
          <w:rFonts w:hint="eastAsia" w:ascii="宋体" w:hAnsi="宋体" w:cs="宋体"/>
          <w:color w:val="auto"/>
          <w:szCs w:val="21"/>
          <w:highlight w:val="none"/>
        </w:rPr>
        <w:t>保密</w:t>
      </w:r>
    </w:p>
    <w:p w14:paraId="19DE799F">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cs="宋体"/>
          <w:color w:val="auto"/>
          <w:szCs w:val="21"/>
          <w:highlight w:val="none"/>
          <w:u w:val="single"/>
        </w:rPr>
      </w:pPr>
      <w:r>
        <w:rPr>
          <w:rFonts w:hint="eastAsia" w:ascii="宋体" w:hAnsi="宋体" w:cs="宋体"/>
          <w:color w:val="auto"/>
          <w:szCs w:val="21"/>
          <w:highlight w:val="none"/>
        </w:rPr>
        <w:t>委托人申明的保密事项和期限：</w:t>
      </w:r>
      <w:r>
        <w:rPr>
          <w:rFonts w:ascii="宋体" w:hAnsi="宋体" w:cs="宋体"/>
          <w:color w:val="auto"/>
          <w:szCs w:val="21"/>
          <w:highlight w:val="none"/>
          <w:u w:val="single"/>
        </w:rPr>
        <w:t xml:space="preserve">  /  </w:t>
      </w:r>
      <w:r>
        <w:rPr>
          <w:rFonts w:hint="eastAsia" w:ascii="宋体" w:hAnsi="宋体" w:cs="宋体"/>
          <w:color w:val="auto"/>
          <w:szCs w:val="21"/>
          <w:highlight w:val="none"/>
        </w:rPr>
        <w:t>。</w:t>
      </w:r>
    </w:p>
    <w:p w14:paraId="53EEEA45">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cs="宋体"/>
          <w:color w:val="auto"/>
          <w:szCs w:val="21"/>
          <w:highlight w:val="none"/>
          <w:u w:val="single"/>
        </w:rPr>
      </w:pPr>
      <w:r>
        <w:rPr>
          <w:rFonts w:hint="eastAsia" w:ascii="宋体" w:hAnsi="宋体" w:cs="宋体"/>
          <w:color w:val="auto"/>
          <w:szCs w:val="21"/>
          <w:highlight w:val="none"/>
        </w:rPr>
        <w:t>监理人申明的保密事项和期限：</w:t>
      </w:r>
      <w:r>
        <w:rPr>
          <w:rFonts w:ascii="宋体" w:hAnsi="宋体" w:cs="宋体"/>
          <w:color w:val="auto"/>
          <w:szCs w:val="21"/>
          <w:highlight w:val="none"/>
          <w:u w:val="single"/>
        </w:rPr>
        <w:t xml:space="preserve">  /  </w:t>
      </w:r>
      <w:r>
        <w:rPr>
          <w:rFonts w:hint="eastAsia" w:ascii="宋体" w:hAnsi="宋体" w:cs="宋体"/>
          <w:color w:val="auto"/>
          <w:szCs w:val="21"/>
          <w:highlight w:val="none"/>
        </w:rPr>
        <w:t>。</w:t>
      </w:r>
    </w:p>
    <w:p w14:paraId="4646910D">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cs="宋体"/>
          <w:color w:val="auto"/>
          <w:szCs w:val="21"/>
          <w:highlight w:val="none"/>
          <w:u w:val="single"/>
        </w:rPr>
      </w:pPr>
      <w:r>
        <w:rPr>
          <w:rFonts w:hint="eastAsia" w:ascii="宋体" w:hAnsi="宋体" w:cs="宋体"/>
          <w:color w:val="auto"/>
          <w:szCs w:val="21"/>
          <w:highlight w:val="none"/>
        </w:rPr>
        <w:t>第三方申明的保密事项和期限：</w:t>
      </w:r>
      <w:r>
        <w:rPr>
          <w:rFonts w:ascii="宋体" w:hAnsi="宋体" w:cs="宋体"/>
          <w:color w:val="auto"/>
          <w:szCs w:val="21"/>
          <w:highlight w:val="none"/>
          <w:u w:val="single"/>
        </w:rPr>
        <w:t xml:space="preserve">  /  </w:t>
      </w:r>
      <w:r>
        <w:rPr>
          <w:rFonts w:hint="eastAsia" w:ascii="宋体" w:hAnsi="宋体" w:cs="宋体"/>
          <w:color w:val="auto"/>
          <w:szCs w:val="21"/>
          <w:highlight w:val="none"/>
        </w:rPr>
        <w:t>。</w:t>
      </w:r>
    </w:p>
    <w:p w14:paraId="6C5A9DE7">
      <w:pPr>
        <w:pageBreakBefore w:val="0"/>
        <w:widowControl w:val="0"/>
        <w:kinsoku/>
        <w:wordWrap/>
        <w:overflowPunct/>
        <w:topLinePunct w:val="0"/>
        <w:autoSpaceDE/>
        <w:autoSpaceDN/>
        <w:bidi w:val="0"/>
        <w:snapToGrid w:val="0"/>
        <w:spacing w:line="360" w:lineRule="auto"/>
        <w:ind w:firstLine="420" w:firstLineChars="200"/>
        <w:jc w:val="left"/>
        <w:textAlignment w:val="auto"/>
        <w:rPr>
          <w:rFonts w:ascii="宋体" w:cs="宋体"/>
          <w:bCs/>
          <w:color w:val="auto"/>
          <w:szCs w:val="21"/>
          <w:highlight w:val="none"/>
        </w:rPr>
      </w:pPr>
      <w:r>
        <w:rPr>
          <w:rFonts w:ascii="宋体" w:hAnsi="宋体" w:cs="宋体"/>
          <w:color w:val="auto"/>
          <w:szCs w:val="21"/>
          <w:highlight w:val="none"/>
        </w:rPr>
        <w:t>8.8</w:t>
      </w:r>
      <w:r>
        <w:rPr>
          <w:rFonts w:hint="eastAsia" w:ascii="宋体" w:hAnsi="宋体" w:cs="宋体"/>
          <w:bCs/>
          <w:color w:val="auto"/>
          <w:szCs w:val="21"/>
          <w:highlight w:val="none"/>
        </w:rPr>
        <w:t>著作权</w:t>
      </w:r>
    </w:p>
    <w:p w14:paraId="02B5C08A">
      <w:pPr>
        <w:pageBreakBefore w:val="0"/>
        <w:widowControl w:val="0"/>
        <w:kinsoku/>
        <w:wordWrap/>
        <w:overflowPunct/>
        <w:topLinePunct w:val="0"/>
        <w:autoSpaceDE/>
        <w:autoSpaceDN/>
        <w:bidi w:val="0"/>
        <w:snapToGrid w:val="0"/>
        <w:spacing w:line="360" w:lineRule="auto"/>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监理人在本合同履行期间及本合同终止后两年内出版涉及本工程的有关监理与相关服务的资料的限制条件：</w:t>
      </w:r>
      <w:r>
        <w:rPr>
          <w:rFonts w:ascii="宋体" w:hAnsi="宋体" w:cs="宋体"/>
          <w:color w:val="auto"/>
          <w:szCs w:val="21"/>
          <w:highlight w:val="none"/>
          <w:u w:val="single"/>
        </w:rPr>
        <w:t xml:space="preserve">  /  </w:t>
      </w:r>
      <w:r>
        <w:rPr>
          <w:rFonts w:hint="eastAsia" w:ascii="宋体" w:hAnsi="宋体" w:cs="宋体"/>
          <w:color w:val="auto"/>
          <w:szCs w:val="21"/>
          <w:highlight w:val="none"/>
        </w:rPr>
        <w:t>。</w:t>
      </w:r>
    </w:p>
    <w:p w14:paraId="0CAF6E7C">
      <w:pPr>
        <w:pageBreakBefore w:val="0"/>
        <w:widowControl w:val="0"/>
        <w:kinsoku/>
        <w:wordWrap/>
        <w:overflowPunct/>
        <w:topLinePunct w:val="0"/>
        <w:autoSpaceDE/>
        <w:autoSpaceDN/>
        <w:bidi w:val="0"/>
        <w:adjustRightInd w:val="0"/>
        <w:snapToGrid w:val="0"/>
        <w:spacing w:line="360" w:lineRule="auto"/>
        <w:ind w:firstLine="422" w:firstLineChars="200"/>
        <w:jc w:val="left"/>
        <w:textAlignment w:val="auto"/>
        <w:rPr>
          <w:rFonts w:ascii="宋体"/>
          <w:b/>
          <w:bCs/>
          <w:color w:val="auto"/>
          <w:spacing w:val="-8"/>
          <w:szCs w:val="21"/>
          <w:highlight w:val="none"/>
        </w:rPr>
      </w:pPr>
      <w:r>
        <w:rPr>
          <w:rFonts w:ascii="宋体" w:hAnsi="宋体" w:cs="宋体"/>
          <w:b/>
          <w:bCs/>
          <w:color w:val="auto"/>
          <w:szCs w:val="21"/>
          <w:highlight w:val="none"/>
        </w:rPr>
        <w:t xml:space="preserve">9. </w:t>
      </w:r>
      <w:r>
        <w:rPr>
          <w:rFonts w:hint="eastAsia" w:ascii="宋体" w:hAnsi="宋体" w:cs="宋体"/>
          <w:b/>
          <w:bCs/>
          <w:color w:val="auto"/>
          <w:szCs w:val="21"/>
          <w:highlight w:val="none"/>
        </w:rPr>
        <w:t>补充条款</w:t>
      </w:r>
    </w:p>
    <w:p w14:paraId="37BDAC33">
      <w:pPr>
        <w:pageBreakBefore w:val="0"/>
        <w:widowControl w:val="0"/>
        <w:kinsoku/>
        <w:wordWrap/>
        <w:overflowPunct/>
        <w:topLinePunct w:val="0"/>
        <w:autoSpaceDE/>
        <w:autoSpaceDN/>
        <w:bidi w:val="0"/>
        <w:snapToGrid w:val="0"/>
        <w:spacing w:line="360" w:lineRule="auto"/>
        <w:ind w:firstLine="420" w:firstLineChars="200"/>
        <w:jc w:val="left"/>
        <w:textAlignment w:val="auto"/>
        <w:rPr>
          <w:rFonts w:ascii="宋体" w:cs="宋体"/>
          <w:color w:val="auto"/>
          <w:szCs w:val="21"/>
          <w:highlight w:val="none"/>
        </w:rPr>
      </w:pPr>
      <w:r>
        <w:rPr>
          <w:rFonts w:ascii="宋体" w:hAnsi="宋体" w:cs="宋体"/>
          <w:color w:val="auto"/>
          <w:szCs w:val="21"/>
          <w:highlight w:val="none"/>
        </w:rPr>
        <w:t>9.1</w:t>
      </w:r>
      <w:r>
        <w:rPr>
          <w:rFonts w:hint="eastAsia" w:ascii="宋体" w:hAnsi="宋体" w:cs="宋体"/>
          <w:color w:val="auto"/>
          <w:szCs w:val="21"/>
          <w:highlight w:val="none"/>
        </w:rPr>
        <w:t>施工阶段监理的具体工作内容及要求：合同签订时补充约定。</w:t>
      </w:r>
      <w:r>
        <w:rPr>
          <w:rFonts w:ascii="宋体" w:hAnsi="宋体" w:cs="宋体"/>
          <w:color w:val="auto"/>
          <w:szCs w:val="21"/>
          <w:highlight w:val="none"/>
        </w:rPr>
        <w:t xml:space="preserve"> </w:t>
      </w:r>
    </w:p>
    <w:p w14:paraId="5A310C70">
      <w:pPr>
        <w:pageBreakBefore w:val="0"/>
        <w:widowControl w:val="0"/>
        <w:kinsoku/>
        <w:wordWrap/>
        <w:overflowPunct/>
        <w:topLinePunct w:val="0"/>
        <w:autoSpaceDE/>
        <w:autoSpaceDN/>
        <w:bidi w:val="0"/>
        <w:snapToGrid w:val="0"/>
        <w:spacing w:line="360" w:lineRule="auto"/>
        <w:ind w:firstLine="420" w:firstLineChars="200"/>
        <w:jc w:val="left"/>
        <w:textAlignment w:val="auto"/>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）进场监理人员必须与投标文件及中标通知书中的</w:t>
      </w:r>
      <w:r>
        <w:rPr>
          <w:rFonts w:hint="eastAsia" w:ascii="宋体" w:cs="宋体"/>
          <w:color w:val="auto"/>
          <w:szCs w:val="21"/>
          <w:highlight w:val="none"/>
        </w:rPr>
        <w:t>“</w:t>
      </w:r>
      <w:r>
        <w:rPr>
          <w:rFonts w:hint="eastAsia" w:ascii="宋体" w:hAnsi="宋体" w:cs="宋体"/>
          <w:color w:val="auto"/>
          <w:szCs w:val="21"/>
          <w:highlight w:val="none"/>
        </w:rPr>
        <w:t>监理人员</w:t>
      </w:r>
      <w:r>
        <w:rPr>
          <w:rFonts w:hint="eastAsia" w:ascii="宋体" w:cs="宋体"/>
          <w:color w:val="auto"/>
          <w:szCs w:val="21"/>
          <w:highlight w:val="none"/>
        </w:rPr>
        <w:t>”</w:t>
      </w:r>
      <w:r>
        <w:rPr>
          <w:rFonts w:hint="eastAsia" w:ascii="宋体" w:hAnsi="宋体" w:cs="宋体"/>
          <w:color w:val="auto"/>
          <w:szCs w:val="21"/>
          <w:highlight w:val="none"/>
        </w:rPr>
        <w:t>一致，中标人进场前，发包人对中标人的进场监理人员进行面试，面试通过的人员方可进场管理。进场后任何人的更换必须书面报告委托人，经委托人批准后方可更换，否则，委托人将按：</w:t>
      </w:r>
      <w:r>
        <w:rPr>
          <w:rFonts w:ascii="宋体" w:hAnsi="宋体" w:cs="宋体"/>
          <w:color w:val="auto"/>
          <w:szCs w:val="21"/>
          <w:highlight w:val="none"/>
        </w:rPr>
        <w:t>2000</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人×天对监理人进行罚款。</w:t>
      </w:r>
    </w:p>
    <w:p w14:paraId="35C36615">
      <w:pPr>
        <w:pageBreakBefore w:val="0"/>
        <w:widowControl w:val="0"/>
        <w:kinsoku/>
        <w:wordWrap/>
        <w:overflowPunct/>
        <w:topLinePunct w:val="0"/>
        <w:autoSpaceDE/>
        <w:autoSpaceDN/>
        <w:bidi w:val="0"/>
        <w:snapToGrid w:val="0"/>
        <w:spacing w:line="360" w:lineRule="auto"/>
        <w:ind w:firstLine="420" w:firstLineChars="200"/>
        <w:jc w:val="left"/>
        <w:textAlignment w:val="auto"/>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）委托人认为监理人员不能胜任的，有权要求监理人更换相关人员，替换人员必须与中标通知书中备案的人员资质能力相符且须经甲方书面同意。在接到委托人书面要求更换人员通知后</w:t>
      </w:r>
      <w:r>
        <w:rPr>
          <w:rFonts w:ascii="宋体" w:hAnsi="宋体" w:cs="宋体"/>
          <w:color w:val="auto"/>
          <w:szCs w:val="21"/>
          <w:highlight w:val="none"/>
        </w:rPr>
        <w:t>3</w:t>
      </w:r>
      <w:r>
        <w:rPr>
          <w:rFonts w:hint="eastAsia" w:ascii="宋体" w:hAnsi="宋体" w:cs="宋体"/>
          <w:color w:val="auto"/>
          <w:szCs w:val="21"/>
          <w:highlight w:val="none"/>
        </w:rPr>
        <w:t>日内，替换人员必须按要求进场，否则，每延误一天收取违约金</w:t>
      </w:r>
      <w:r>
        <w:rPr>
          <w:rFonts w:ascii="宋体" w:hAnsi="宋体" w:cs="宋体"/>
          <w:color w:val="auto"/>
          <w:szCs w:val="21"/>
          <w:highlight w:val="none"/>
        </w:rPr>
        <w:t>2000</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人。</w:t>
      </w:r>
    </w:p>
    <w:p w14:paraId="4D73740B">
      <w:pPr>
        <w:pageBreakBefore w:val="0"/>
        <w:widowControl w:val="0"/>
        <w:kinsoku/>
        <w:wordWrap/>
        <w:overflowPunct/>
        <w:topLinePunct w:val="0"/>
        <w:autoSpaceDE/>
        <w:autoSpaceDN/>
        <w:bidi w:val="0"/>
        <w:snapToGrid w:val="0"/>
        <w:spacing w:line="360" w:lineRule="auto"/>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合同签订后，发包人将对进场监理人员实行实名制考勤制度。工程开工前，从监理签发的开工令时间开始考勤。</w:t>
      </w:r>
    </w:p>
    <w:p w14:paraId="42979776">
      <w:pPr>
        <w:pageBreakBefore w:val="0"/>
        <w:widowControl w:val="0"/>
        <w:kinsoku/>
        <w:wordWrap/>
        <w:overflowPunct/>
        <w:topLinePunct w:val="0"/>
        <w:autoSpaceDE/>
        <w:autoSpaceDN/>
        <w:bidi w:val="0"/>
        <w:snapToGrid w:val="0"/>
        <w:spacing w:line="360" w:lineRule="auto"/>
        <w:ind w:firstLine="420" w:firstLineChars="200"/>
        <w:jc w:val="left"/>
        <w:textAlignment w:val="auto"/>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）监理人派至施工现场总监每天在工地工作时间必须在</w:t>
      </w:r>
      <w:r>
        <w:rPr>
          <w:rFonts w:ascii="宋体" w:hAnsi="宋体" w:cs="宋体"/>
          <w:color w:val="auto"/>
          <w:szCs w:val="21"/>
          <w:highlight w:val="none"/>
        </w:rPr>
        <w:t>8</w:t>
      </w:r>
      <w:r>
        <w:rPr>
          <w:rFonts w:hint="eastAsia" w:ascii="宋体" w:hAnsi="宋体" w:cs="宋体"/>
          <w:color w:val="auto"/>
          <w:szCs w:val="21"/>
          <w:highlight w:val="none"/>
        </w:rPr>
        <w:t>个小时以上。总监理工程师（总监代表）若需离开施工现场，</w:t>
      </w:r>
      <w:r>
        <w:rPr>
          <w:rFonts w:ascii="宋体" w:hAnsi="宋体" w:cs="宋体"/>
          <w:color w:val="auto"/>
          <w:szCs w:val="21"/>
          <w:highlight w:val="none"/>
        </w:rPr>
        <w:t>1</w:t>
      </w:r>
      <w:r>
        <w:rPr>
          <w:rFonts w:hint="eastAsia" w:ascii="宋体" w:hAnsi="宋体" w:cs="宋体"/>
          <w:color w:val="auto"/>
          <w:szCs w:val="21"/>
          <w:highlight w:val="none"/>
        </w:rPr>
        <w:t>日以内须经委托人代表同意，</w:t>
      </w:r>
      <w:r>
        <w:rPr>
          <w:rFonts w:ascii="宋体" w:hAnsi="宋体" w:cs="宋体"/>
          <w:color w:val="auto"/>
          <w:szCs w:val="21"/>
          <w:highlight w:val="none"/>
        </w:rPr>
        <w:t>1</w:t>
      </w:r>
      <w:r>
        <w:rPr>
          <w:rFonts w:hint="eastAsia" w:ascii="宋体" w:hAnsi="宋体" w:cs="宋体"/>
          <w:color w:val="auto"/>
          <w:szCs w:val="21"/>
          <w:highlight w:val="none"/>
        </w:rPr>
        <w:t>日以上须经委托人书面批准。工程施工过程中，各专业监理工程师必须在施工现场，确保满足现场施工管理需要，如有调整，人员排班以委托人批准的计划表为准。如未与委托人请假无故不在现场，总监理工程师按</w:t>
      </w:r>
      <w:r>
        <w:rPr>
          <w:rFonts w:ascii="宋体" w:hAnsi="宋体" w:cs="宋体"/>
          <w:color w:val="auto"/>
          <w:szCs w:val="21"/>
          <w:highlight w:val="none"/>
        </w:rPr>
        <w:t>2000</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次，专业人员按</w:t>
      </w:r>
      <w:r>
        <w:rPr>
          <w:rFonts w:ascii="宋体" w:hAnsi="宋体" w:cs="宋体"/>
          <w:color w:val="auto"/>
          <w:szCs w:val="21"/>
          <w:highlight w:val="none"/>
        </w:rPr>
        <w:t>1000</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次进行罚款。总监理工程师及总监代表请假日数每月累计不得超过</w:t>
      </w:r>
      <w:r>
        <w:rPr>
          <w:rFonts w:ascii="宋体" w:hAnsi="宋体" w:cs="宋体"/>
          <w:color w:val="auto"/>
          <w:szCs w:val="21"/>
          <w:highlight w:val="none"/>
        </w:rPr>
        <w:t>5</w:t>
      </w:r>
      <w:r>
        <w:rPr>
          <w:rFonts w:hint="eastAsia" w:ascii="宋体" w:hAnsi="宋体" w:cs="宋体"/>
          <w:color w:val="auto"/>
          <w:szCs w:val="21"/>
          <w:highlight w:val="none"/>
        </w:rPr>
        <w:t>日（含节假日，春节除外）。在其请假离开期间应书面委托其他驻场监理工程师全权代表其行使职权。</w:t>
      </w:r>
      <w:r>
        <w:rPr>
          <w:rFonts w:ascii="宋体" w:hAnsi="宋体" w:cs="宋体"/>
          <w:color w:val="auto"/>
          <w:szCs w:val="21"/>
          <w:highlight w:val="none"/>
        </w:rPr>
        <w:t xml:space="preserve"> </w:t>
      </w:r>
    </w:p>
    <w:p w14:paraId="27D0657A">
      <w:pPr>
        <w:pageBreakBefore w:val="0"/>
        <w:widowControl w:val="0"/>
        <w:kinsoku/>
        <w:wordWrap/>
        <w:overflowPunct/>
        <w:topLinePunct w:val="0"/>
        <w:autoSpaceDE/>
        <w:autoSpaceDN/>
        <w:bidi w:val="0"/>
        <w:snapToGrid w:val="0"/>
        <w:spacing w:line="360" w:lineRule="auto"/>
        <w:ind w:firstLine="420" w:firstLineChars="200"/>
        <w:jc w:val="left"/>
        <w:textAlignment w:val="auto"/>
        <w:rPr>
          <w:rFonts w:asci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）监理人员存在下列情形之一的，委托人有权要求监理人随时更换监理人员，监理人应在一周内无条件更换，及时满足委托人的服务需求。否则，即被视为违约，委托人有权对其处罚</w:t>
      </w:r>
      <w:r>
        <w:rPr>
          <w:rFonts w:ascii="宋体" w:hAnsi="宋体" w:cs="宋体"/>
          <w:color w:val="auto"/>
          <w:szCs w:val="21"/>
          <w:highlight w:val="none"/>
        </w:rPr>
        <w:t xml:space="preserve">2000~20000 </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人或次，且委托人有权终止履行合同，更换监理队伍，由此所造成的损失，由乙方自负：</w:t>
      </w:r>
      <w:r>
        <w:rPr>
          <w:rFonts w:ascii="宋体" w:hAnsi="宋体" w:cs="宋体"/>
          <w:color w:val="auto"/>
          <w:szCs w:val="21"/>
          <w:highlight w:val="none"/>
        </w:rPr>
        <w:t xml:space="preserve"> </w:t>
      </w:r>
    </w:p>
    <w:p w14:paraId="5FA097FE">
      <w:pPr>
        <w:pageBreakBefore w:val="0"/>
        <w:widowControl w:val="0"/>
        <w:kinsoku/>
        <w:wordWrap/>
        <w:overflowPunct/>
        <w:topLinePunct w:val="0"/>
        <w:autoSpaceDE/>
        <w:autoSpaceDN/>
        <w:bidi w:val="0"/>
        <w:snapToGrid w:val="0"/>
        <w:spacing w:line="360" w:lineRule="auto"/>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4.1现场监理人员不服从委托人工作人员管理的；</w:t>
      </w:r>
      <w:r>
        <w:rPr>
          <w:rFonts w:ascii="宋体" w:hAnsi="宋体" w:cs="宋体"/>
          <w:color w:val="auto"/>
          <w:szCs w:val="21"/>
          <w:highlight w:val="none"/>
        </w:rPr>
        <w:t xml:space="preserve"> </w:t>
      </w:r>
    </w:p>
    <w:p w14:paraId="50C87E15">
      <w:pPr>
        <w:pageBreakBefore w:val="0"/>
        <w:widowControl w:val="0"/>
        <w:kinsoku/>
        <w:wordWrap/>
        <w:overflowPunct/>
        <w:topLinePunct w:val="0"/>
        <w:autoSpaceDE/>
        <w:autoSpaceDN/>
        <w:bidi w:val="0"/>
        <w:snapToGrid w:val="0"/>
        <w:spacing w:line="360" w:lineRule="auto"/>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4.2监理人在合同履行期间不能及时、保质、保量的完成监理工程范围及合同、招标文件内的所有监理业务的；</w:t>
      </w:r>
      <w:r>
        <w:rPr>
          <w:rFonts w:ascii="宋体" w:hAnsi="宋体" w:cs="宋体"/>
          <w:color w:val="auto"/>
          <w:szCs w:val="21"/>
          <w:highlight w:val="none"/>
        </w:rPr>
        <w:t xml:space="preserve"> </w:t>
      </w:r>
    </w:p>
    <w:p w14:paraId="2B1FCC10">
      <w:pPr>
        <w:pageBreakBefore w:val="0"/>
        <w:widowControl w:val="0"/>
        <w:kinsoku/>
        <w:wordWrap/>
        <w:overflowPunct/>
        <w:topLinePunct w:val="0"/>
        <w:autoSpaceDE/>
        <w:autoSpaceDN/>
        <w:bidi w:val="0"/>
        <w:spacing w:line="360" w:lineRule="auto"/>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4.3不能完成委托人交办的属于监理人工作范围内的任务；</w:t>
      </w:r>
    </w:p>
    <w:p w14:paraId="06D9AB74">
      <w:pPr>
        <w:pageBreakBefore w:val="0"/>
        <w:widowControl w:val="0"/>
        <w:kinsoku/>
        <w:wordWrap/>
        <w:overflowPunct/>
        <w:topLinePunct w:val="0"/>
        <w:autoSpaceDE/>
        <w:autoSpaceDN/>
        <w:bidi w:val="0"/>
        <w:spacing w:line="360" w:lineRule="auto"/>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4.4不能维护委托人的合法权益和满足委托人的服务需求；</w:t>
      </w:r>
      <w:r>
        <w:rPr>
          <w:rFonts w:ascii="宋体" w:hAnsi="宋体" w:cs="宋体"/>
          <w:color w:val="auto"/>
          <w:szCs w:val="21"/>
          <w:highlight w:val="none"/>
        </w:rPr>
        <w:t xml:space="preserve"> </w:t>
      </w:r>
    </w:p>
    <w:p w14:paraId="1E33C650">
      <w:pPr>
        <w:pageBreakBefore w:val="0"/>
        <w:widowControl w:val="0"/>
        <w:kinsoku/>
        <w:wordWrap/>
        <w:overflowPunct/>
        <w:topLinePunct w:val="0"/>
        <w:autoSpaceDE/>
        <w:autoSpaceDN/>
        <w:bidi w:val="0"/>
        <w:spacing w:line="360" w:lineRule="auto"/>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4.5双方确认的监理人员工作过失达三次者；</w:t>
      </w:r>
      <w:r>
        <w:rPr>
          <w:rFonts w:ascii="宋体" w:hAnsi="宋体" w:cs="宋体"/>
          <w:color w:val="auto"/>
          <w:szCs w:val="21"/>
          <w:highlight w:val="none"/>
        </w:rPr>
        <w:t xml:space="preserve"> </w:t>
      </w:r>
    </w:p>
    <w:p w14:paraId="4F3AD250">
      <w:pPr>
        <w:pageBreakBefore w:val="0"/>
        <w:widowControl w:val="0"/>
        <w:kinsoku/>
        <w:wordWrap/>
        <w:overflowPunct/>
        <w:topLinePunct w:val="0"/>
        <w:autoSpaceDE/>
        <w:autoSpaceDN/>
        <w:bidi w:val="0"/>
        <w:spacing w:line="360" w:lineRule="auto"/>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4.6委托人认为专业不对口的监理人员。</w:t>
      </w:r>
      <w:r>
        <w:rPr>
          <w:rFonts w:ascii="宋体" w:hAnsi="宋体" w:cs="宋体"/>
          <w:color w:val="auto"/>
          <w:szCs w:val="21"/>
          <w:highlight w:val="none"/>
        </w:rPr>
        <w:t xml:space="preserve"> </w:t>
      </w:r>
    </w:p>
    <w:p w14:paraId="03D83CC6">
      <w:pPr>
        <w:pageBreakBefore w:val="0"/>
        <w:widowControl w:val="0"/>
        <w:kinsoku/>
        <w:wordWrap/>
        <w:overflowPunct/>
        <w:topLinePunct w:val="0"/>
        <w:autoSpaceDE/>
        <w:autoSpaceDN/>
        <w:bidi w:val="0"/>
        <w:spacing w:line="360" w:lineRule="auto"/>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5)监理人承诺中标本工程无借用、挂靠、出借资质证书等行为，且监理人派至施工现场监理人员与其存在合法的人事及社保关系。监理人必须加强对自身职业道德操守的教育。本项目监理人员须共同遵守监理人员职业道德守则，并严格遵守以下规定：</w:t>
      </w:r>
      <w:r>
        <w:rPr>
          <w:rFonts w:ascii="宋体" w:hAnsi="宋体" w:cs="宋体"/>
          <w:color w:val="auto"/>
          <w:szCs w:val="21"/>
          <w:highlight w:val="none"/>
        </w:rPr>
        <w:t xml:space="preserve"> </w:t>
      </w:r>
    </w:p>
    <w:p w14:paraId="2889F26B">
      <w:pPr>
        <w:pageBreakBefore w:val="0"/>
        <w:widowControl w:val="0"/>
        <w:kinsoku/>
        <w:wordWrap/>
        <w:overflowPunct/>
        <w:topLinePunct w:val="0"/>
        <w:autoSpaceDE/>
        <w:autoSpaceDN/>
        <w:bidi w:val="0"/>
        <w:spacing w:line="360" w:lineRule="auto"/>
        <w:ind w:firstLine="420" w:firstLineChars="200"/>
        <w:jc w:val="left"/>
        <w:textAlignment w:val="auto"/>
        <w:rPr>
          <w:rFonts w:asci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禁止向委托人及施工单位进行材料、设备等推销活动，或倾向性、排他性变相推销活动。</w:t>
      </w:r>
      <w:r>
        <w:rPr>
          <w:rFonts w:ascii="宋体" w:hAnsi="宋体" w:cs="宋体"/>
          <w:color w:val="auto"/>
          <w:szCs w:val="21"/>
          <w:highlight w:val="none"/>
        </w:rPr>
        <w:t xml:space="preserve"> </w:t>
      </w:r>
    </w:p>
    <w:p w14:paraId="3DB4A5A2">
      <w:pPr>
        <w:pageBreakBefore w:val="0"/>
        <w:widowControl w:val="0"/>
        <w:kinsoku/>
        <w:wordWrap/>
        <w:overflowPunct/>
        <w:topLinePunct w:val="0"/>
        <w:autoSpaceDE/>
        <w:autoSpaceDN/>
        <w:bidi w:val="0"/>
        <w:spacing w:line="360" w:lineRule="auto"/>
        <w:ind w:firstLine="420" w:firstLineChars="200"/>
        <w:jc w:val="left"/>
        <w:textAlignment w:val="auto"/>
        <w:rPr>
          <w:rFonts w:asci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禁止与施工单位串通，对不合格材料、产品、工程进行包庇及验收。</w:t>
      </w:r>
      <w:r>
        <w:rPr>
          <w:rFonts w:ascii="宋体" w:hAnsi="宋体" w:cs="宋体"/>
          <w:color w:val="auto"/>
          <w:szCs w:val="21"/>
          <w:highlight w:val="none"/>
        </w:rPr>
        <w:t xml:space="preserve"> </w:t>
      </w:r>
    </w:p>
    <w:p w14:paraId="281ED5D3">
      <w:pPr>
        <w:pageBreakBefore w:val="0"/>
        <w:widowControl w:val="0"/>
        <w:kinsoku/>
        <w:wordWrap/>
        <w:overflowPunct/>
        <w:topLinePunct w:val="0"/>
        <w:autoSpaceDE/>
        <w:autoSpaceDN/>
        <w:bidi w:val="0"/>
        <w:spacing w:line="360" w:lineRule="auto"/>
        <w:ind w:firstLine="420" w:firstLineChars="200"/>
        <w:jc w:val="left"/>
        <w:textAlignment w:val="auto"/>
        <w:rPr>
          <w:rFonts w:asci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禁止与施工单位串通，对材料用量、工程量进行虚假签认。</w:t>
      </w:r>
      <w:r>
        <w:rPr>
          <w:rFonts w:ascii="宋体" w:hAnsi="宋体" w:cs="宋体"/>
          <w:color w:val="auto"/>
          <w:szCs w:val="21"/>
          <w:highlight w:val="none"/>
        </w:rPr>
        <w:t xml:space="preserve"> </w:t>
      </w:r>
    </w:p>
    <w:p w14:paraId="011AF01D">
      <w:pPr>
        <w:pageBreakBefore w:val="0"/>
        <w:widowControl w:val="0"/>
        <w:kinsoku/>
        <w:wordWrap/>
        <w:overflowPunct/>
        <w:topLinePunct w:val="0"/>
        <w:autoSpaceDE/>
        <w:autoSpaceDN/>
        <w:bidi w:val="0"/>
        <w:spacing w:line="360" w:lineRule="auto"/>
        <w:ind w:firstLine="376" w:firstLineChars="200"/>
        <w:jc w:val="left"/>
        <w:textAlignment w:val="auto"/>
        <w:rPr>
          <w:rFonts w:ascii="宋体" w:cs="宋体"/>
          <w:color w:val="auto"/>
          <w:spacing w:val="-11"/>
          <w:szCs w:val="21"/>
          <w:highlight w:val="none"/>
        </w:rPr>
      </w:pPr>
      <w:r>
        <w:rPr>
          <w:rFonts w:ascii="宋体" w:hAnsi="宋体" w:cs="宋体"/>
          <w:color w:val="auto"/>
          <w:spacing w:val="-11"/>
          <w:szCs w:val="21"/>
          <w:highlight w:val="none"/>
        </w:rPr>
        <w:t>5.4</w:t>
      </w:r>
      <w:r>
        <w:rPr>
          <w:rFonts w:hint="eastAsia" w:ascii="宋体" w:hAnsi="宋体" w:cs="宋体"/>
          <w:color w:val="auto"/>
          <w:spacing w:val="-11"/>
          <w:szCs w:val="21"/>
          <w:highlight w:val="none"/>
        </w:rPr>
        <w:t>禁止与施工单位串通，不合理地提高施工难度及增加材料用量，以增大施工费用，获取不正当收益。</w:t>
      </w:r>
      <w:r>
        <w:rPr>
          <w:rFonts w:ascii="宋体" w:hAnsi="宋体" w:cs="宋体"/>
          <w:color w:val="auto"/>
          <w:spacing w:val="-11"/>
          <w:szCs w:val="21"/>
          <w:highlight w:val="none"/>
        </w:rPr>
        <w:t xml:space="preserve"> </w:t>
      </w:r>
    </w:p>
    <w:p w14:paraId="6D5EE31A">
      <w:pPr>
        <w:pageBreakBefore w:val="0"/>
        <w:widowControl w:val="0"/>
        <w:kinsoku/>
        <w:wordWrap/>
        <w:overflowPunct/>
        <w:topLinePunct w:val="0"/>
        <w:autoSpaceDE/>
        <w:autoSpaceDN/>
        <w:bidi w:val="0"/>
        <w:spacing w:line="360" w:lineRule="auto"/>
        <w:ind w:firstLine="420" w:firstLineChars="200"/>
        <w:jc w:val="left"/>
        <w:textAlignment w:val="auto"/>
        <w:rPr>
          <w:rFonts w:ascii="宋体" w:cs="宋体"/>
          <w:color w:val="auto"/>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禁止接受施工单位的请吃送礼，或变相受礼。</w:t>
      </w:r>
      <w:r>
        <w:rPr>
          <w:rFonts w:ascii="宋体" w:hAnsi="宋体" w:cs="宋体"/>
          <w:color w:val="auto"/>
          <w:szCs w:val="21"/>
          <w:highlight w:val="none"/>
        </w:rPr>
        <w:t xml:space="preserve"> </w:t>
      </w:r>
    </w:p>
    <w:p w14:paraId="02DDA7C1">
      <w:pPr>
        <w:pageBreakBefore w:val="0"/>
        <w:widowControl w:val="0"/>
        <w:kinsoku/>
        <w:wordWrap/>
        <w:overflowPunct/>
        <w:topLinePunct w:val="0"/>
        <w:autoSpaceDE/>
        <w:autoSpaceDN/>
        <w:bidi w:val="0"/>
        <w:spacing w:line="360" w:lineRule="auto"/>
        <w:ind w:firstLine="420" w:firstLineChars="200"/>
        <w:jc w:val="left"/>
        <w:textAlignment w:val="auto"/>
        <w:rPr>
          <w:rFonts w:ascii="宋体" w:cs="宋体"/>
          <w:color w:val="auto"/>
          <w:szCs w:val="21"/>
          <w:highlight w:val="none"/>
        </w:rPr>
      </w:pPr>
      <w:r>
        <w:rPr>
          <w:rFonts w:ascii="宋体" w:hAnsi="宋体" w:cs="宋体"/>
          <w:color w:val="auto"/>
          <w:szCs w:val="21"/>
          <w:highlight w:val="none"/>
        </w:rPr>
        <w:t>5.6</w:t>
      </w:r>
      <w:r>
        <w:rPr>
          <w:rFonts w:hint="eastAsia" w:ascii="宋体" w:hAnsi="宋体" w:cs="宋体"/>
          <w:color w:val="auto"/>
          <w:szCs w:val="21"/>
          <w:highlight w:val="none"/>
        </w:rPr>
        <w:t>禁止向施工单位介绍分包。</w:t>
      </w:r>
      <w:r>
        <w:rPr>
          <w:rFonts w:ascii="宋体" w:hAnsi="宋体" w:cs="宋体"/>
          <w:color w:val="auto"/>
          <w:szCs w:val="21"/>
          <w:highlight w:val="none"/>
        </w:rPr>
        <w:t xml:space="preserve"> </w:t>
      </w:r>
    </w:p>
    <w:p w14:paraId="4AFD6452">
      <w:pPr>
        <w:pageBreakBefore w:val="0"/>
        <w:widowControl w:val="0"/>
        <w:kinsoku/>
        <w:wordWrap/>
        <w:overflowPunct/>
        <w:topLinePunct w:val="0"/>
        <w:autoSpaceDE/>
        <w:autoSpaceDN/>
        <w:bidi w:val="0"/>
        <w:spacing w:line="360" w:lineRule="auto"/>
        <w:ind w:firstLine="420" w:firstLineChars="200"/>
        <w:jc w:val="left"/>
        <w:textAlignment w:val="auto"/>
        <w:rPr>
          <w:rFonts w:ascii="宋体" w:cs="宋体"/>
          <w:color w:val="auto"/>
          <w:szCs w:val="21"/>
          <w:highlight w:val="none"/>
        </w:rPr>
      </w:pPr>
      <w:r>
        <w:rPr>
          <w:rFonts w:ascii="宋体" w:hAnsi="宋体" w:cs="宋体"/>
          <w:color w:val="auto"/>
          <w:szCs w:val="21"/>
          <w:highlight w:val="none"/>
        </w:rPr>
        <w:t>5.7</w:t>
      </w:r>
      <w:r>
        <w:rPr>
          <w:rFonts w:hint="eastAsia" w:ascii="宋体" w:hAnsi="宋体" w:cs="宋体"/>
          <w:color w:val="auto"/>
          <w:szCs w:val="21"/>
          <w:highlight w:val="none"/>
        </w:rPr>
        <w:t>禁止故意刁难施工单位以谋取私利，损害委托人的合法利益。</w:t>
      </w:r>
      <w:r>
        <w:rPr>
          <w:rFonts w:ascii="宋体" w:hAnsi="宋体" w:cs="宋体"/>
          <w:color w:val="auto"/>
          <w:szCs w:val="21"/>
          <w:highlight w:val="none"/>
        </w:rPr>
        <w:t xml:space="preserve"> </w:t>
      </w:r>
    </w:p>
    <w:p w14:paraId="228461BB">
      <w:pPr>
        <w:pageBreakBefore w:val="0"/>
        <w:widowControl w:val="0"/>
        <w:kinsoku/>
        <w:wordWrap/>
        <w:overflowPunct/>
        <w:topLinePunct w:val="0"/>
        <w:autoSpaceDE/>
        <w:autoSpaceDN/>
        <w:bidi w:val="0"/>
        <w:spacing w:line="360" w:lineRule="auto"/>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凡违反以上任一规定者，一经查实视情节严重程度处罚</w:t>
      </w:r>
      <w:r>
        <w:rPr>
          <w:rFonts w:ascii="宋体" w:hAnsi="宋体" w:cs="宋体"/>
          <w:color w:val="auto"/>
          <w:szCs w:val="21"/>
          <w:highlight w:val="none"/>
        </w:rPr>
        <w:t xml:space="preserve">2000~10000 </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次，情节严重的，委托人有权部分或全部解除合同。并且有权向有关部门反映情况，追究监理人及有关责任人相关责任，要求赔偿相应损失。并有权将上述违反职业道德的行为通过新闻媒体公诸于众，情节严重者将移交司法机关追究法律责任。</w:t>
      </w:r>
      <w:r>
        <w:rPr>
          <w:rFonts w:ascii="宋体" w:hAnsi="宋体" w:cs="宋体"/>
          <w:color w:val="auto"/>
          <w:szCs w:val="21"/>
          <w:highlight w:val="none"/>
        </w:rPr>
        <w:t xml:space="preserve"> </w:t>
      </w:r>
    </w:p>
    <w:p w14:paraId="2F308367">
      <w:pPr>
        <w:pageBreakBefore w:val="0"/>
        <w:widowControl w:val="0"/>
        <w:kinsoku/>
        <w:wordWrap/>
        <w:overflowPunct/>
        <w:topLinePunct w:val="0"/>
        <w:autoSpaceDE/>
        <w:autoSpaceDN/>
        <w:bidi w:val="0"/>
        <w:spacing w:line="360" w:lineRule="auto"/>
        <w:ind w:firstLine="420" w:firstLineChars="200"/>
        <w:jc w:val="left"/>
        <w:textAlignment w:val="auto"/>
        <w:rPr>
          <w:rFonts w:asci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在施工工程开工前，总监理工程师应组织各专业监理人员对设计交底会前的设计文件进行详细的审查。重点审查各专业施工图纸出现遗漏、缺项、错误，并就存在的问题分类列出，向委托人提出书面意见和建议。保证施工过程中能按图施工，最大限度地减少施工过程中的设计变更。</w:t>
      </w:r>
      <w:r>
        <w:rPr>
          <w:rFonts w:ascii="宋体" w:hAnsi="宋体" w:cs="宋体"/>
          <w:color w:val="auto"/>
          <w:szCs w:val="21"/>
          <w:highlight w:val="none"/>
        </w:rPr>
        <w:t xml:space="preserve"> </w:t>
      </w:r>
    </w:p>
    <w:p w14:paraId="094595B2">
      <w:pPr>
        <w:pageBreakBefore w:val="0"/>
        <w:widowControl w:val="0"/>
        <w:kinsoku/>
        <w:wordWrap/>
        <w:overflowPunct/>
        <w:topLinePunct w:val="0"/>
        <w:autoSpaceDE/>
        <w:autoSpaceDN/>
        <w:bidi w:val="0"/>
        <w:spacing w:line="360" w:lineRule="auto"/>
        <w:ind w:firstLine="420" w:firstLineChars="200"/>
        <w:jc w:val="left"/>
        <w:textAlignment w:val="auto"/>
        <w:rPr>
          <w:rFonts w:ascii="宋体" w:cs="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）施工过程中监理人应对施工图纸的错误及时提出意见，并根据现场的实际施工情况，每周向委托人上报施工图纸的存在问题修改的情况。未尽监理职责，对施工图纸出现重大错误未发现或未提出意见的，扣减</w:t>
      </w:r>
      <w:r>
        <w:rPr>
          <w:rFonts w:ascii="宋体" w:hAnsi="宋体" w:cs="宋体"/>
          <w:color w:val="auto"/>
          <w:szCs w:val="21"/>
          <w:highlight w:val="none"/>
        </w:rPr>
        <w:t xml:space="preserve">10000 </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项×次监理酬金。</w:t>
      </w:r>
    </w:p>
    <w:p w14:paraId="29CA9FC9">
      <w:pPr>
        <w:pageBreakBefore w:val="0"/>
        <w:widowControl w:val="0"/>
        <w:kinsoku/>
        <w:wordWrap/>
        <w:overflowPunct/>
        <w:topLinePunct w:val="0"/>
        <w:autoSpaceDE/>
        <w:autoSpaceDN/>
        <w:bidi w:val="0"/>
        <w:spacing w:line="360" w:lineRule="auto"/>
        <w:ind w:firstLine="420" w:firstLineChars="200"/>
        <w:jc w:val="left"/>
        <w:textAlignment w:val="auto"/>
        <w:rPr>
          <w:rFonts w:ascii="宋体" w:cs="宋体"/>
          <w:color w:val="auto"/>
          <w:szCs w:val="21"/>
          <w:highlight w:val="none"/>
        </w:rPr>
      </w:pPr>
      <w:r>
        <w:rPr>
          <w:rFonts w:ascii="宋体" w:hAnsi="宋体" w:cs="宋体"/>
          <w:color w:val="auto"/>
          <w:szCs w:val="21"/>
          <w:highlight w:val="none"/>
        </w:rPr>
        <w:t>8</w:t>
      </w:r>
      <w:r>
        <w:rPr>
          <w:rFonts w:hint="eastAsia" w:ascii="宋体" w:hAnsi="宋体" w:cs="宋体"/>
          <w:color w:val="auto"/>
          <w:szCs w:val="21"/>
          <w:highlight w:val="none"/>
        </w:rPr>
        <w:t>）承包人报验的隐蔽工程，须经监理人验收同意后方可隐蔽施工，并留有影像资料。若因监理人失职造成隐蔽施工不符合图纸、变更及规范要求，由监理人承担违约责任。</w:t>
      </w:r>
      <w:r>
        <w:rPr>
          <w:rFonts w:ascii="宋体" w:hAnsi="宋体" w:cs="宋体"/>
          <w:color w:val="auto"/>
          <w:szCs w:val="21"/>
          <w:highlight w:val="none"/>
        </w:rPr>
        <w:t xml:space="preserve"> </w:t>
      </w:r>
    </w:p>
    <w:p w14:paraId="118F0BC1">
      <w:pPr>
        <w:pageBreakBefore w:val="0"/>
        <w:widowControl w:val="0"/>
        <w:kinsoku/>
        <w:wordWrap/>
        <w:overflowPunct/>
        <w:topLinePunct w:val="0"/>
        <w:autoSpaceDE/>
        <w:autoSpaceDN/>
        <w:bidi w:val="0"/>
        <w:spacing w:line="360" w:lineRule="auto"/>
        <w:ind w:firstLine="420" w:firstLineChars="200"/>
        <w:jc w:val="left"/>
        <w:textAlignment w:val="auto"/>
        <w:rPr>
          <w:rFonts w:ascii="宋体" w:cs="宋体"/>
          <w:color w:val="auto"/>
          <w:szCs w:val="21"/>
          <w:highlight w:val="none"/>
        </w:rPr>
      </w:pPr>
      <w:r>
        <w:rPr>
          <w:rFonts w:ascii="宋体" w:hAnsi="宋体" w:cs="宋体"/>
          <w:color w:val="auto"/>
          <w:szCs w:val="21"/>
          <w:highlight w:val="none"/>
        </w:rPr>
        <w:t>9</w:t>
      </w:r>
      <w:r>
        <w:rPr>
          <w:rFonts w:hint="eastAsia" w:ascii="宋体" w:hAnsi="宋体" w:cs="宋体"/>
          <w:color w:val="auto"/>
          <w:szCs w:val="21"/>
          <w:highlight w:val="none"/>
        </w:rPr>
        <w:t>）监理人根据施工图纸、国家相关施工规范的要求严格监理施工质量，督促施工单位确保工程合格率为</w:t>
      </w:r>
      <w:r>
        <w:rPr>
          <w:rFonts w:ascii="宋体" w:hAnsi="宋体" w:cs="宋体"/>
          <w:color w:val="auto"/>
          <w:szCs w:val="21"/>
          <w:highlight w:val="none"/>
        </w:rPr>
        <w:t>100%</w:t>
      </w:r>
      <w:r>
        <w:rPr>
          <w:rFonts w:hint="eastAsia" w:ascii="宋体" w:hAnsi="宋体" w:cs="宋体"/>
          <w:color w:val="auto"/>
          <w:szCs w:val="21"/>
          <w:highlight w:val="none"/>
        </w:rPr>
        <w:t>。如未按规范履行监理职责或履责不到位，经第三方检查存在施工质量隐患或已发生质量问题的，监理人将承担违约责任。</w:t>
      </w:r>
    </w:p>
    <w:p w14:paraId="564DDE23">
      <w:pPr>
        <w:pageBreakBefore w:val="0"/>
        <w:widowControl w:val="0"/>
        <w:kinsoku/>
        <w:wordWrap/>
        <w:overflowPunct/>
        <w:topLinePunct w:val="0"/>
        <w:autoSpaceDE/>
        <w:autoSpaceDN/>
        <w:bidi w:val="0"/>
        <w:spacing w:line="360" w:lineRule="auto"/>
        <w:ind w:firstLine="420" w:firstLineChars="200"/>
        <w:jc w:val="left"/>
        <w:textAlignment w:val="auto"/>
        <w:rPr>
          <w:rFonts w:ascii="宋体" w:cs="宋体"/>
          <w:color w:val="auto"/>
          <w:szCs w:val="21"/>
          <w:highlight w:val="none"/>
        </w:rPr>
      </w:pPr>
      <w:r>
        <w:rPr>
          <w:rFonts w:ascii="宋体" w:hAnsi="宋体" w:cs="宋体"/>
          <w:color w:val="auto"/>
          <w:szCs w:val="21"/>
          <w:highlight w:val="none"/>
        </w:rPr>
        <w:t>10</w:t>
      </w:r>
      <w:r>
        <w:rPr>
          <w:rFonts w:hint="eastAsia" w:ascii="宋体" w:hAnsi="宋体" w:cs="宋体"/>
          <w:color w:val="auto"/>
          <w:szCs w:val="21"/>
          <w:highlight w:val="none"/>
        </w:rPr>
        <w:t>）监理人应督促、检查承包人严格按照国家技术标准，省、市、地方规程以及设计图纸和文件要求进行施工。因监理失职所造成的经济损失或返工，由监理人承担因此造成的相应责任和经济损失。</w:t>
      </w:r>
      <w:r>
        <w:rPr>
          <w:rFonts w:ascii="宋体" w:hAnsi="宋体" w:cs="宋体"/>
          <w:color w:val="auto"/>
          <w:szCs w:val="21"/>
          <w:highlight w:val="none"/>
        </w:rPr>
        <w:t xml:space="preserve"> </w:t>
      </w:r>
    </w:p>
    <w:p w14:paraId="0371341B">
      <w:pPr>
        <w:pageBreakBefore w:val="0"/>
        <w:widowControl w:val="0"/>
        <w:kinsoku/>
        <w:wordWrap/>
        <w:overflowPunct/>
        <w:topLinePunct w:val="0"/>
        <w:autoSpaceDE/>
        <w:autoSpaceDN/>
        <w:bidi w:val="0"/>
        <w:spacing w:line="360" w:lineRule="auto"/>
        <w:ind w:firstLine="420" w:firstLineChars="200"/>
        <w:jc w:val="left"/>
        <w:textAlignment w:val="auto"/>
        <w:rPr>
          <w:rFonts w:ascii="宋体" w:cs="宋体"/>
          <w:color w:val="auto"/>
          <w:szCs w:val="21"/>
          <w:highlight w:val="none"/>
        </w:rPr>
      </w:pPr>
      <w:r>
        <w:rPr>
          <w:rFonts w:ascii="宋体" w:hAnsi="宋体" w:cs="宋体"/>
          <w:color w:val="auto"/>
          <w:szCs w:val="21"/>
          <w:highlight w:val="none"/>
        </w:rPr>
        <w:t>11</w:t>
      </w:r>
      <w:r>
        <w:rPr>
          <w:rFonts w:hint="eastAsia" w:ascii="宋体" w:hAnsi="宋体" w:cs="宋体"/>
          <w:color w:val="auto"/>
          <w:szCs w:val="21"/>
          <w:highlight w:val="none"/>
        </w:rPr>
        <w:t>）监理质量目标为甲方对施工承包单位（含专业分包单位）的合同质量要求，并通过工程实体的实测实量（借助专业仪器和工具，在中间验收、竣工验收或每月的例行检查时进行）。若所监理的标段未达到施工承包合同规定的质量标准，乙方向甲方支付监理费总额</w:t>
      </w:r>
      <w:r>
        <w:rPr>
          <w:rFonts w:ascii="宋体" w:hAnsi="宋体" w:cs="宋体"/>
          <w:color w:val="auto"/>
          <w:szCs w:val="21"/>
          <w:highlight w:val="none"/>
        </w:rPr>
        <w:t>10%</w:t>
      </w:r>
      <w:r>
        <w:rPr>
          <w:rFonts w:hint="eastAsia" w:ascii="宋体" w:hAnsi="宋体" w:cs="宋体"/>
          <w:color w:val="auto"/>
          <w:szCs w:val="21"/>
          <w:highlight w:val="none"/>
        </w:rPr>
        <w:t>的违约金。</w:t>
      </w:r>
      <w:r>
        <w:rPr>
          <w:rFonts w:ascii="宋体" w:hAnsi="宋体" w:cs="宋体"/>
          <w:color w:val="auto"/>
          <w:szCs w:val="21"/>
          <w:highlight w:val="none"/>
        </w:rPr>
        <w:t xml:space="preserve"> </w:t>
      </w:r>
    </w:p>
    <w:p w14:paraId="00882CB6">
      <w:pPr>
        <w:pageBreakBefore w:val="0"/>
        <w:widowControl w:val="0"/>
        <w:kinsoku/>
        <w:wordWrap/>
        <w:overflowPunct/>
        <w:topLinePunct w:val="0"/>
        <w:autoSpaceDE/>
        <w:autoSpaceDN/>
        <w:bidi w:val="0"/>
        <w:spacing w:line="360" w:lineRule="auto"/>
        <w:ind w:firstLine="420" w:firstLineChars="200"/>
        <w:jc w:val="left"/>
        <w:textAlignment w:val="auto"/>
        <w:rPr>
          <w:rFonts w:ascii="宋体" w:cs="宋体"/>
          <w:color w:val="auto"/>
          <w:szCs w:val="21"/>
          <w:highlight w:val="none"/>
        </w:rPr>
      </w:pPr>
      <w:r>
        <w:rPr>
          <w:rFonts w:ascii="宋体" w:hAnsi="宋体" w:cs="宋体"/>
          <w:color w:val="auto"/>
          <w:szCs w:val="21"/>
          <w:highlight w:val="none"/>
        </w:rPr>
        <w:t>12</w:t>
      </w:r>
      <w:r>
        <w:rPr>
          <w:rFonts w:hint="eastAsia" w:ascii="宋体" w:hAnsi="宋体" w:cs="宋体"/>
          <w:color w:val="auto"/>
          <w:szCs w:val="21"/>
          <w:highlight w:val="none"/>
        </w:rPr>
        <w:t>）如因监理工作过失造成工程质量事故，监理方应按有关法律法规承担相应的赔偿责任。</w:t>
      </w:r>
      <w:r>
        <w:rPr>
          <w:rFonts w:ascii="宋体" w:hAnsi="宋体" w:cs="宋体"/>
          <w:color w:val="auto"/>
          <w:szCs w:val="21"/>
          <w:highlight w:val="none"/>
        </w:rPr>
        <w:t xml:space="preserve"> </w:t>
      </w:r>
    </w:p>
    <w:p w14:paraId="7308C9A9">
      <w:pPr>
        <w:pageBreakBefore w:val="0"/>
        <w:widowControl w:val="0"/>
        <w:kinsoku/>
        <w:wordWrap/>
        <w:overflowPunct/>
        <w:topLinePunct w:val="0"/>
        <w:autoSpaceDE/>
        <w:autoSpaceDN/>
        <w:bidi w:val="0"/>
        <w:spacing w:line="360" w:lineRule="auto"/>
        <w:ind w:firstLine="420" w:firstLineChars="200"/>
        <w:jc w:val="left"/>
        <w:textAlignment w:val="auto"/>
        <w:rPr>
          <w:rFonts w:ascii="宋体" w:cs="宋体"/>
          <w:color w:val="auto"/>
          <w:szCs w:val="21"/>
          <w:highlight w:val="none"/>
        </w:rPr>
      </w:pPr>
      <w:r>
        <w:rPr>
          <w:rFonts w:ascii="宋体" w:hAnsi="宋体" w:cs="宋体"/>
          <w:color w:val="auto"/>
          <w:szCs w:val="21"/>
          <w:highlight w:val="none"/>
        </w:rPr>
        <w:t>13</w:t>
      </w:r>
      <w:r>
        <w:rPr>
          <w:rFonts w:hint="eastAsia" w:ascii="宋体" w:hAnsi="宋体" w:cs="宋体"/>
          <w:color w:val="auto"/>
          <w:szCs w:val="21"/>
          <w:highlight w:val="none"/>
        </w:rPr>
        <w:t>）现场监理工程师应使用自备仪器（全站仪等）独立测量，复核承包人报送的测量成果，保证测量精度。如果测量精度存在错误，监理人在复核过程中未能发现的，每次扣减</w:t>
      </w:r>
      <w:r>
        <w:rPr>
          <w:rFonts w:ascii="宋体" w:hAnsi="宋体" w:cs="宋体"/>
          <w:color w:val="auto"/>
          <w:szCs w:val="21"/>
          <w:highlight w:val="none"/>
        </w:rPr>
        <w:t>5000</w:t>
      </w:r>
      <w:r>
        <w:rPr>
          <w:rFonts w:hint="eastAsia" w:ascii="宋体" w:hAnsi="宋体" w:cs="宋体"/>
          <w:color w:val="auto"/>
          <w:szCs w:val="21"/>
          <w:highlight w:val="none"/>
        </w:rPr>
        <w:t>元监理费。检测仪器及设备（摄像机、电脑、打印机）等未按工程需要的数量、规格、时间进场的，每件每日扣减</w:t>
      </w:r>
      <w:r>
        <w:rPr>
          <w:rFonts w:ascii="宋体" w:hAnsi="宋体" w:cs="宋体"/>
          <w:color w:val="auto"/>
          <w:szCs w:val="21"/>
          <w:highlight w:val="none"/>
        </w:rPr>
        <w:t>2000</w:t>
      </w:r>
      <w:r>
        <w:rPr>
          <w:rFonts w:hint="eastAsia" w:ascii="宋体" w:hAnsi="宋体" w:cs="宋体"/>
          <w:color w:val="auto"/>
          <w:szCs w:val="21"/>
          <w:highlight w:val="none"/>
        </w:rPr>
        <w:t>元监理费。</w:t>
      </w:r>
      <w:r>
        <w:rPr>
          <w:rFonts w:ascii="宋体" w:hAnsi="宋体" w:cs="宋体"/>
          <w:color w:val="auto"/>
          <w:szCs w:val="21"/>
          <w:highlight w:val="none"/>
        </w:rPr>
        <w:t xml:space="preserve"> </w:t>
      </w:r>
    </w:p>
    <w:p w14:paraId="01DFE8F9">
      <w:pPr>
        <w:pageBreakBefore w:val="0"/>
        <w:widowControl w:val="0"/>
        <w:kinsoku/>
        <w:wordWrap/>
        <w:overflowPunct/>
        <w:topLinePunct w:val="0"/>
        <w:autoSpaceDE/>
        <w:autoSpaceDN/>
        <w:bidi w:val="0"/>
        <w:spacing w:line="360" w:lineRule="auto"/>
        <w:ind w:firstLine="420" w:firstLineChars="200"/>
        <w:jc w:val="left"/>
        <w:textAlignment w:val="auto"/>
        <w:rPr>
          <w:rFonts w:ascii="宋体" w:cs="宋体"/>
          <w:color w:val="auto"/>
          <w:szCs w:val="21"/>
          <w:highlight w:val="none"/>
        </w:rPr>
      </w:pPr>
      <w:r>
        <w:rPr>
          <w:rFonts w:ascii="宋体" w:hAnsi="宋体" w:cs="宋体"/>
          <w:color w:val="auto"/>
          <w:szCs w:val="21"/>
          <w:highlight w:val="none"/>
        </w:rPr>
        <w:t>14</w:t>
      </w:r>
      <w:r>
        <w:rPr>
          <w:rFonts w:hint="eastAsia" w:ascii="宋体" w:hAnsi="宋体" w:cs="宋体"/>
          <w:color w:val="auto"/>
          <w:szCs w:val="21"/>
          <w:highlight w:val="none"/>
        </w:rPr>
        <w:t>）监理人应派专人对施工现场安全生产情况进行巡视检查，对发现的各类安全隐患，应书面通知承包人，并督促其立即整改；情况严重的，与委托人磋商后，监理人应及时下达工程暂停令，要求承包人停工整改，并同时书面报告委托人详细情况。安全事故隐患消除后，监理人应检查整改结果，签署复查或复工意见。承包人拒不整改或不停工整改的，监理人应当及时向委托人和工程所在地行政主管部门或工程项目的行业主管部门报告，检查、整改、复查、报告等情况应当记载在监理日记、监理月报中。监理人没有及时下达书面指令要求承包人进行整改或停止施工的，没有采取有效措施的，造成损失的，应承担相应责任（法律、经济等）。</w:t>
      </w:r>
      <w:r>
        <w:rPr>
          <w:rFonts w:ascii="宋体" w:hAnsi="宋体" w:cs="宋体"/>
          <w:color w:val="auto"/>
          <w:szCs w:val="21"/>
          <w:highlight w:val="none"/>
        </w:rPr>
        <w:t xml:space="preserve"> </w:t>
      </w:r>
    </w:p>
    <w:p w14:paraId="45AA9BC2">
      <w:pPr>
        <w:pageBreakBefore w:val="0"/>
        <w:widowControl w:val="0"/>
        <w:kinsoku/>
        <w:wordWrap/>
        <w:overflowPunct/>
        <w:topLinePunct w:val="0"/>
        <w:autoSpaceDE/>
        <w:autoSpaceDN/>
        <w:bidi w:val="0"/>
        <w:spacing w:line="360" w:lineRule="auto"/>
        <w:ind w:firstLine="420" w:firstLineChars="200"/>
        <w:jc w:val="left"/>
        <w:textAlignment w:val="auto"/>
        <w:rPr>
          <w:rFonts w:ascii="宋体" w:cs="宋体"/>
          <w:color w:val="auto"/>
          <w:szCs w:val="21"/>
          <w:highlight w:val="none"/>
        </w:rPr>
      </w:pPr>
      <w:r>
        <w:rPr>
          <w:rFonts w:ascii="宋体" w:hAnsi="宋体" w:cs="宋体"/>
          <w:color w:val="auto"/>
          <w:szCs w:val="21"/>
          <w:highlight w:val="none"/>
        </w:rPr>
        <w:t>15</w:t>
      </w:r>
      <w:r>
        <w:rPr>
          <w:rFonts w:hint="eastAsia" w:ascii="宋体" w:hAnsi="宋体" w:cs="宋体"/>
          <w:color w:val="auto"/>
          <w:szCs w:val="21"/>
          <w:highlight w:val="none"/>
        </w:rPr>
        <w:t>）监理人负责隐蔽工程验收、中间验收和竣工初验，并监督整改。保留隐蔽工程验收、中间验收的影像资料提供给委托人。若因监理人原因造成未进行隐蔽工程验收的，一经查实处罚</w:t>
      </w:r>
      <w:r>
        <w:rPr>
          <w:rFonts w:ascii="宋体" w:hAnsi="宋体" w:cs="宋体"/>
          <w:color w:val="auto"/>
          <w:szCs w:val="21"/>
          <w:highlight w:val="none"/>
        </w:rPr>
        <w:t>5000</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项</w:t>
      </w:r>
      <w:r>
        <w:rPr>
          <w:rFonts w:ascii="宋体" w:hAnsi="宋体" w:cs="宋体"/>
          <w:color w:val="auto"/>
          <w:szCs w:val="21"/>
          <w:highlight w:val="none"/>
        </w:rPr>
        <w:t>*</w:t>
      </w:r>
      <w:r>
        <w:rPr>
          <w:rFonts w:hint="eastAsia" w:ascii="宋体" w:hAnsi="宋体" w:cs="宋体"/>
          <w:color w:val="auto"/>
          <w:szCs w:val="21"/>
          <w:highlight w:val="none"/>
        </w:rPr>
        <w:t>次。</w:t>
      </w:r>
      <w:r>
        <w:rPr>
          <w:rFonts w:ascii="宋体" w:hAnsi="宋体" w:cs="宋体"/>
          <w:color w:val="auto"/>
          <w:szCs w:val="21"/>
          <w:highlight w:val="none"/>
        </w:rPr>
        <w:t xml:space="preserve"> </w:t>
      </w:r>
    </w:p>
    <w:p w14:paraId="30A0B89D">
      <w:pPr>
        <w:pageBreakBefore w:val="0"/>
        <w:widowControl w:val="0"/>
        <w:kinsoku/>
        <w:wordWrap/>
        <w:overflowPunct/>
        <w:topLinePunct w:val="0"/>
        <w:autoSpaceDE/>
        <w:autoSpaceDN/>
        <w:bidi w:val="0"/>
        <w:spacing w:line="360" w:lineRule="auto"/>
        <w:ind w:firstLine="420" w:firstLineChars="200"/>
        <w:jc w:val="left"/>
        <w:textAlignment w:val="auto"/>
        <w:rPr>
          <w:rFonts w:ascii="宋体" w:cs="宋体"/>
          <w:color w:val="auto"/>
          <w:szCs w:val="21"/>
          <w:highlight w:val="none"/>
        </w:rPr>
      </w:pPr>
      <w:r>
        <w:rPr>
          <w:rFonts w:ascii="宋体" w:hAnsi="宋体" w:cs="宋体"/>
          <w:color w:val="auto"/>
          <w:szCs w:val="21"/>
          <w:highlight w:val="none"/>
        </w:rPr>
        <w:t>16</w:t>
      </w:r>
      <w:r>
        <w:rPr>
          <w:rFonts w:hint="eastAsia" w:ascii="宋体" w:hAnsi="宋体" w:cs="宋体"/>
          <w:color w:val="auto"/>
          <w:szCs w:val="21"/>
          <w:highlight w:val="none"/>
        </w:rPr>
        <w:t>）监理人应负责核检用于工程建设的进场材料、构配件、半成品及使用情况，并按规定进行监理见证取样试验。按规范要求对工序材料进行监督取样和留取相应的试块、试件、样品等。有权责令不合格材料和不合格半成品构件限期退场。一旦不合格材料、构配件用于工程造成质量问题或事故，监理人须承担相关责任和经济赔偿，特殊情况在征得委托人书面同意后可先使用后检测。</w:t>
      </w:r>
      <w:r>
        <w:rPr>
          <w:rFonts w:ascii="宋体" w:hAnsi="宋体" w:cs="宋体"/>
          <w:color w:val="auto"/>
          <w:szCs w:val="21"/>
          <w:highlight w:val="none"/>
        </w:rPr>
        <w:t xml:space="preserve"> </w:t>
      </w:r>
    </w:p>
    <w:p w14:paraId="2DA43E77">
      <w:pPr>
        <w:pageBreakBefore w:val="0"/>
        <w:widowControl w:val="0"/>
        <w:kinsoku/>
        <w:wordWrap/>
        <w:overflowPunct/>
        <w:topLinePunct w:val="0"/>
        <w:autoSpaceDE/>
        <w:autoSpaceDN/>
        <w:bidi w:val="0"/>
        <w:spacing w:line="360" w:lineRule="auto"/>
        <w:ind w:firstLine="420" w:firstLineChars="200"/>
        <w:jc w:val="left"/>
        <w:textAlignment w:val="auto"/>
        <w:rPr>
          <w:rFonts w:ascii="宋体" w:cs="宋体"/>
          <w:color w:val="auto"/>
          <w:szCs w:val="21"/>
          <w:highlight w:val="none"/>
        </w:rPr>
      </w:pPr>
      <w:r>
        <w:rPr>
          <w:rFonts w:ascii="宋体" w:hAnsi="宋体" w:cs="宋体"/>
          <w:color w:val="auto"/>
          <w:szCs w:val="21"/>
          <w:highlight w:val="none"/>
        </w:rPr>
        <w:t>17</w:t>
      </w:r>
      <w:r>
        <w:rPr>
          <w:rFonts w:hint="eastAsia" w:ascii="宋体" w:hAnsi="宋体" w:cs="宋体"/>
          <w:color w:val="auto"/>
          <w:szCs w:val="21"/>
          <w:highlight w:val="none"/>
        </w:rPr>
        <w:t>）承包人提出的各项变更、签证、核定单等，监理人负责审核，监理人应在发包人要求的时限内做好变更事项及工程量的审核工作。如经监理人审核过的结算单，委托人工程量复核后有弄虚作假、高估冒算超</w:t>
      </w:r>
      <w:r>
        <w:rPr>
          <w:rFonts w:ascii="宋体" w:hAnsi="宋体" w:cs="宋体"/>
          <w:color w:val="auto"/>
          <w:szCs w:val="21"/>
          <w:highlight w:val="none"/>
        </w:rPr>
        <w:t>5%</w:t>
      </w:r>
      <w:r>
        <w:rPr>
          <w:rFonts w:hint="eastAsia" w:ascii="宋体" w:hAnsi="宋体" w:cs="宋体"/>
          <w:color w:val="auto"/>
          <w:szCs w:val="21"/>
          <w:highlight w:val="none"/>
        </w:rPr>
        <w:t>的，则由委托人将在监理酬金中扣除超出部分的费用。</w:t>
      </w:r>
      <w:r>
        <w:rPr>
          <w:rFonts w:ascii="宋体" w:hAnsi="宋体" w:cs="宋体"/>
          <w:color w:val="auto"/>
          <w:szCs w:val="21"/>
          <w:highlight w:val="none"/>
        </w:rPr>
        <w:t xml:space="preserve"> </w:t>
      </w:r>
    </w:p>
    <w:p w14:paraId="1435A2F5">
      <w:pPr>
        <w:pageBreakBefore w:val="0"/>
        <w:widowControl w:val="0"/>
        <w:kinsoku/>
        <w:wordWrap/>
        <w:overflowPunct/>
        <w:topLinePunct w:val="0"/>
        <w:autoSpaceDE/>
        <w:autoSpaceDN/>
        <w:bidi w:val="0"/>
        <w:spacing w:line="360" w:lineRule="auto"/>
        <w:ind w:firstLine="420" w:firstLineChars="200"/>
        <w:jc w:val="left"/>
        <w:textAlignment w:val="auto"/>
        <w:rPr>
          <w:rFonts w:ascii="宋体" w:cs="宋体"/>
          <w:color w:val="auto"/>
          <w:szCs w:val="21"/>
          <w:highlight w:val="none"/>
        </w:rPr>
      </w:pPr>
      <w:r>
        <w:rPr>
          <w:rFonts w:ascii="宋体" w:hAnsi="宋体" w:cs="宋体"/>
          <w:color w:val="auto"/>
          <w:szCs w:val="21"/>
          <w:highlight w:val="none"/>
        </w:rPr>
        <w:t>18</w:t>
      </w:r>
      <w:r>
        <w:rPr>
          <w:rFonts w:hint="eastAsia" w:ascii="宋体" w:hAnsi="宋体" w:cs="宋体"/>
          <w:color w:val="auto"/>
          <w:szCs w:val="21"/>
          <w:highlight w:val="none"/>
        </w:rPr>
        <w:t>）所有需要监理签字认可的工程资料，除驻工地监理工程师签字外，总监理工程师必须审核签字，如发现有代总监签字行为，委托人有权对其处罚</w:t>
      </w:r>
      <w:r>
        <w:rPr>
          <w:rFonts w:ascii="宋体" w:hAnsi="宋体" w:cs="宋体"/>
          <w:color w:val="auto"/>
          <w:szCs w:val="21"/>
          <w:highlight w:val="none"/>
        </w:rPr>
        <w:t>1000</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份</w:t>
      </w:r>
      <w:r>
        <w:rPr>
          <w:rFonts w:ascii="宋体" w:cs="宋体"/>
          <w:color w:val="auto"/>
          <w:szCs w:val="21"/>
          <w:highlight w:val="none"/>
        </w:rPr>
        <w:t>,</w:t>
      </w:r>
      <w:r>
        <w:rPr>
          <w:rFonts w:hint="eastAsia" w:ascii="宋体" w:hAnsi="宋体" w:cs="宋体"/>
          <w:color w:val="auto"/>
          <w:szCs w:val="21"/>
          <w:highlight w:val="none"/>
        </w:rPr>
        <w:t>按相关规定无须总监理工程师签字的资料除外。</w:t>
      </w:r>
      <w:r>
        <w:rPr>
          <w:rFonts w:ascii="宋体" w:hAnsi="宋体" w:cs="宋体"/>
          <w:color w:val="auto"/>
          <w:szCs w:val="21"/>
          <w:highlight w:val="none"/>
        </w:rPr>
        <w:t xml:space="preserve"> </w:t>
      </w:r>
    </w:p>
    <w:p w14:paraId="64106E2E">
      <w:pPr>
        <w:pageBreakBefore w:val="0"/>
        <w:widowControl w:val="0"/>
        <w:kinsoku/>
        <w:wordWrap/>
        <w:overflowPunct/>
        <w:topLinePunct w:val="0"/>
        <w:autoSpaceDE/>
        <w:autoSpaceDN/>
        <w:bidi w:val="0"/>
        <w:spacing w:line="360" w:lineRule="auto"/>
        <w:ind w:firstLine="420" w:firstLineChars="200"/>
        <w:jc w:val="left"/>
        <w:textAlignment w:val="auto"/>
        <w:rPr>
          <w:rFonts w:ascii="宋体" w:cs="宋体"/>
          <w:color w:val="auto"/>
          <w:szCs w:val="21"/>
          <w:highlight w:val="none"/>
        </w:rPr>
      </w:pPr>
      <w:r>
        <w:rPr>
          <w:rFonts w:ascii="宋体" w:hAnsi="宋体" w:cs="宋体"/>
          <w:color w:val="auto"/>
          <w:szCs w:val="21"/>
          <w:highlight w:val="none"/>
        </w:rPr>
        <w:t>19</w:t>
      </w:r>
      <w:r>
        <w:rPr>
          <w:rFonts w:hint="eastAsia" w:ascii="宋体" w:hAnsi="宋体" w:cs="宋体"/>
          <w:color w:val="auto"/>
          <w:szCs w:val="21"/>
          <w:highlight w:val="none"/>
        </w:rPr>
        <w:t>）对于承包人提交的现场签证资料，监理人未有准确、真实的现场原始记录或不进行现场复核就给予签认，经委托人检查发现签认的文件有误的，除必须立即改正外，处罚监理人</w:t>
      </w:r>
      <w:r>
        <w:rPr>
          <w:rFonts w:ascii="宋体" w:hAnsi="宋体" w:cs="宋体"/>
          <w:color w:val="auto"/>
          <w:szCs w:val="21"/>
          <w:highlight w:val="none"/>
        </w:rPr>
        <w:t>2000~10000</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次。</w:t>
      </w:r>
      <w:r>
        <w:rPr>
          <w:rFonts w:ascii="宋体" w:hAnsi="宋体" w:cs="宋体"/>
          <w:color w:val="auto"/>
          <w:szCs w:val="21"/>
          <w:highlight w:val="none"/>
        </w:rPr>
        <w:t xml:space="preserve"> </w:t>
      </w:r>
    </w:p>
    <w:p w14:paraId="36E90A7B">
      <w:pPr>
        <w:pageBreakBefore w:val="0"/>
        <w:widowControl w:val="0"/>
        <w:kinsoku/>
        <w:wordWrap/>
        <w:overflowPunct/>
        <w:topLinePunct w:val="0"/>
        <w:autoSpaceDE/>
        <w:autoSpaceDN/>
        <w:bidi w:val="0"/>
        <w:spacing w:line="360" w:lineRule="auto"/>
        <w:ind w:firstLine="420" w:firstLineChars="200"/>
        <w:jc w:val="left"/>
        <w:textAlignment w:val="auto"/>
        <w:rPr>
          <w:rFonts w:ascii="宋体" w:cs="宋体"/>
          <w:color w:val="auto"/>
          <w:szCs w:val="21"/>
          <w:highlight w:val="none"/>
        </w:rPr>
      </w:pPr>
      <w:r>
        <w:rPr>
          <w:rFonts w:ascii="宋体" w:hAnsi="宋体" w:cs="宋体"/>
          <w:color w:val="auto"/>
          <w:szCs w:val="21"/>
          <w:highlight w:val="none"/>
        </w:rPr>
        <w:t>20</w:t>
      </w:r>
      <w:r>
        <w:rPr>
          <w:rFonts w:hint="eastAsia" w:ascii="宋体" w:hAnsi="宋体" w:cs="宋体"/>
          <w:color w:val="auto"/>
          <w:szCs w:val="21"/>
          <w:highlight w:val="none"/>
        </w:rPr>
        <w:t>）监理人在总进度计划的前提下，审核施工单位周、日进度计划的可行性，并且起到预警作用。如发现执行过程中不能完成工程计划时，应检查分析原因，督促承包人及时调整计划和采取补救措施，以保证工程进度的实现，向委托人提供书面分析报告。如监理人未采取有效措施，委托人有权对其处罚</w:t>
      </w:r>
      <w:r>
        <w:rPr>
          <w:rFonts w:ascii="宋体" w:hAnsi="宋体" w:cs="宋体"/>
          <w:color w:val="auto"/>
          <w:szCs w:val="21"/>
          <w:highlight w:val="none"/>
        </w:rPr>
        <w:t>2000</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次。</w:t>
      </w:r>
      <w:r>
        <w:rPr>
          <w:rFonts w:ascii="宋体" w:hAnsi="宋体" w:cs="宋体"/>
          <w:color w:val="auto"/>
          <w:szCs w:val="21"/>
          <w:highlight w:val="none"/>
        </w:rPr>
        <w:t xml:space="preserve"> </w:t>
      </w:r>
    </w:p>
    <w:p w14:paraId="188D39B6">
      <w:pPr>
        <w:pageBreakBefore w:val="0"/>
        <w:widowControl w:val="0"/>
        <w:kinsoku/>
        <w:wordWrap/>
        <w:overflowPunct/>
        <w:topLinePunct w:val="0"/>
        <w:autoSpaceDE/>
        <w:autoSpaceDN/>
        <w:bidi w:val="0"/>
        <w:spacing w:line="360" w:lineRule="auto"/>
        <w:ind w:firstLine="420" w:firstLineChars="200"/>
        <w:jc w:val="left"/>
        <w:textAlignment w:val="auto"/>
        <w:rPr>
          <w:rFonts w:ascii="宋体" w:cs="宋体"/>
          <w:color w:val="auto"/>
          <w:szCs w:val="21"/>
          <w:highlight w:val="none"/>
        </w:rPr>
      </w:pPr>
      <w:r>
        <w:rPr>
          <w:rFonts w:ascii="宋体" w:hAnsi="宋体" w:cs="宋体"/>
          <w:color w:val="auto"/>
          <w:szCs w:val="21"/>
          <w:highlight w:val="none"/>
        </w:rPr>
        <w:t>21</w:t>
      </w:r>
      <w:r>
        <w:rPr>
          <w:rFonts w:hint="eastAsia" w:ascii="宋体" w:hAnsi="宋体" w:cs="宋体"/>
          <w:color w:val="auto"/>
          <w:szCs w:val="21"/>
          <w:highlight w:val="none"/>
        </w:rPr>
        <w:t>）事前由各相关方共同确认的工程施工的关键线路工期因承包人原因比计划滞后</w:t>
      </w:r>
      <w:r>
        <w:rPr>
          <w:rFonts w:ascii="宋体" w:hAnsi="宋体" w:cs="宋体"/>
          <w:color w:val="auto"/>
          <w:szCs w:val="21"/>
          <w:highlight w:val="none"/>
        </w:rPr>
        <w:t>5</w:t>
      </w:r>
      <w:r>
        <w:rPr>
          <w:rFonts w:hint="eastAsia" w:ascii="宋体" w:hAnsi="宋体" w:cs="宋体"/>
          <w:color w:val="auto"/>
          <w:szCs w:val="21"/>
          <w:highlight w:val="none"/>
        </w:rPr>
        <w:t>日以上（包括</w:t>
      </w:r>
      <w:r>
        <w:rPr>
          <w:rFonts w:ascii="宋体" w:hAnsi="宋体" w:cs="宋体"/>
          <w:color w:val="auto"/>
          <w:szCs w:val="21"/>
          <w:highlight w:val="none"/>
        </w:rPr>
        <w:t>5</w:t>
      </w:r>
      <w:r>
        <w:rPr>
          <w:rFonts w:hint="eastAsia" w:ascii="宋体" w:hAnsi="宋体" w:cs="宋体"/>
          <w:color w:val="auto"/>
          <w:szCs w:val="21"/>
          <w:highlight w:val="none"/>
        </w:rPr>
        <w:t>日），监理人未及时预见、未及时提出整改措施，未及时监督承包人整改，未及时向委托人报告，对整个工程的按期完工不能起到监管作用，处罚监理人</w:t>
      </w:r>
      <w:r>
        <w:rPr>
          <w:rFonts w:ascii="宋体" w:hAnsi="宋体" w:cs="宋体"/>
          <w:color w:val="auto"/>
          <w:szCs w:val="21"/>
          <w:highlight w:val="none"/>
        </w:rPr>
        <w:t>5000</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次。</w:t>
      </w:r>
      <w:r>
        <w:rPr>
          <w:rFonts w:ascii="宋体" w:hAnsi="宋体" w:cs="宋体"/>
          <w:color w:val="auto"/>
          <w:szCs w:val="21"/>
          <w:highlight w:val="none"/>
        </w:rPr>
        <w:t xml:space="preserve"> </w:t>
      </w:r>
    </w:p>
    <w:p w14:paraId="5A877D42">
      <w:pPr>
        <w:pageBreakBefore w:val="0"/>
        <w:widowControl w:val="0"/>
        <w:kinsoku/>
        <w:wordWrap/>
        <w:overflowPunct/>
        <w:topLinePunct w:val="0"/>
        <w:autoSpaceDE/>
        <w:autoSpaceDN/>
        <w:bidi w:val="0"/>
        <w:spacing w:line="360" w:lineRule="auto"/>
        <w:ind w:firstLine="420" w:firstLineChars="200"/>
        <w:jc w:val="left"/>
        <w:textAlignment w:val="auto"/>
        <w:rPr>
          <w:rFonts w:asci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）施工期间由于施工单位违反安全操作规范，而乙方没有及时指出整改，被政府有关部门处罚，如通报批评、警告和罚款等，乙方应向甲方支付</w:t>
      </w:r>
      <w:r>
        <w:rPr>
          <w:rFonts w:ascii="宋体" w:hAnsi="宋体" w:cs="宋体"/>
          <w:color w:val="auto"/>
          <w:szCs w:val="21"/>
          <w:highlight w:val="none"/>
        </w:rPr>
        <w:t>10000</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次的违约金。如超过</w:t>
      </w:r>
      <w:r>
        <w:rPr>
          <w:rFonts w:ascii="宋体" w:hAnsi="宋体" w:cs="宋体"/>
          <w:color w:val="auto"/>
          <w:szCs w:val="21"/>
          <w:highlight w:val="none"/>
        </w:rPr>
        <w:t>5</w:t>
      </w:r>
      <w:r>
        <w:rPr>
          <w:rFonts w:hint="eastAsia" w:ascii="宋体" w:hAnsi="宋体" w:cs="宋体"/>
          <w:color w:val="auto"/>
          <w:szCs w:val="21"/>
          <w:highlight w:val="none"/>
        </w:rPr>
        <w:t>次，甲方有权终止合同，乙方向甲方支付监理总额</w:t>
      </w:r>
      <w:r>
        <w:rPr>
          <w:rFonts w:ascii="宋体" w:hAnsi="宋体" w:cs="宋体"/>
          <w:color w:val="auto"/>
          <w:szCs w:val="21"/>
          <w:highlight w:val="none"/>
        </w:rPr>
        <w:t>10%</w:t>
      </w:r>
      <w:r>
        <w:rPr>
          <w:rFonts w:hint="eastAsia" w:ascii="宋体" w:hAnsi="宋体" w:cs="宋体"/>
          <w:color w:val="auto"/>
          <w:szCs w:val="21"/>
          <w:highlight w:val="none"/>
        </w:rPr>
        <w:t>的违约金，并赔偿甲方实际所发生的损失。</w:t>
      </w:r>
      <w:r>
        <w:rPr>
          <w:rFonts w:ascii="宋体" w:hAnsi="宋体" w:cs="宋体"/>
          <w:color w:val="auto"/>
          <w:szCs w:val="21"/>
          <w:highlight w:val="none"/>
        </w:rPr>
        <w:t xml:space="preserve"> </w:t>
      </w:r>
    </w:p>
    <w:p w14:paraId="784B28B1">
      <w:pPr>
        <w:pageBreakBefore w:val="0"/>
        <w:widowControl w:val="0"/>
        <w:kinsoku/>
        <w:wordWrap/>
        <w:overflowPunct/>
        <w:topLinePunct w:val="0"/>
        <w:autoSpaceDE/>
        <w:autoSpaceDN/>
        <w:bidi w:val="0"/>
        <w:spacing w:line="360" w:lineRule="auto"/>
        <w:ind w:firstLine="420" w:firstLineChars="200"/>
        <w:jc w:val="left"/>
        <w:textAlignment w:val="auto"/>
        <w:rPr>
          <w:rFonts w:ascii="宋体" w:cs="宋体"/>
          <w:color w:val="auto"/>
          <w:szCs w:val="21"/>
          <w:highlight w:val="none"/>
        </w:rPr>
      </w:pPr>
      <w:r>
        <w:rPr>
          <w:rFonts w:ascii="宋体" w:hAnsi="宋体" w:cs="宋体"/>
          <w:color w:val="auto"/>
          <w:szCs w:val="21"/>
          <w:highlight w:val="none"/>
        </w:rPr>
        <w:t>23</w:t>
      </w:r>
      <w:r>
        <w:rPr>
          <w:rFonts w:hint="eastAsia" w:ascii="宋体" w:hAnsi="宋体" w:cs="宋体"/>
          <w:color w:val="auto"/>
          <w:szCs w:val="21"/>
          <w:highlight w:val="none"/>
        </w:rPr>
        <w:t>）监理人对现场文明施工加强监管，尤其扬尘管控，如工程因前述问题受到通报，监理人承担连带责任，并处以罚款。</w:t>
      </w:r>
      <w:r>
        <w:rPr>
          <w:rFonts w:ascii="宋体" w:hAnsi="宋体" w:cs="宋体"/>
          <w:color w:val="auto"/>
          <w:szCs w:val="21"/>
          <w:highlight w:val="none"/>
        </w:rPr>
        <w:t xml:space="preserve"> </w:t>
      </w:r>
    </w:p>
    <w:p w14:paraId="7AB85A18">
      <w:pPr>
        <w:pageBreakBefore w:val="0"/>
        <w:widowControl w:val="0"/>
        <w:kinsoku/>
        <w:wordWrap/>
        <w:overflowPunct/>
        <w:topLinePunct w:val="0"/>
        <w:autoSpaceDE/>
        <w:autoSpaceDN/>
        <w:bidi w:val="0"/>
        <w:spacing w:line="360" w:lineRule="auto"/>
        <w:ind w:firstLine="420" w:firstLineChars="200"/>
        <w:jc w:val="left"/>
        <w:textAlignment w:val="auto"/>
        <w:rPr>
          <w:rFonts w:ascii="宋体" w:cs="宋体"/>
          <w:color w:val="auto"/>
          <w:szCs w:val="21"/>
          <w:highlight w:val="none"/>
        </w:rPr>
      </w:pPr>
      <w:r>
        <w:rPr>
          <w:rFonts w:ascii="宋体" w:hAnsi="宋体" w:cs="宋体"/>
          <w:color w:val="auto"/>
          <w:szCs w:val="21"/>
          <w:highlight w:val="none"/>
        </w:rPr>
        <w:t>24</w:t>
      </w:r>
      <w:r>
        <w:rPr>
          <w:rFonts w:hint="eastAsia" w:ascii="宋体" w:hAnsi="宋体" w:cs="宋体"/>
          <w:color w:val="auto"/>
          <w:szCs w:val="21"/>
          <w:highlight w:val="none"/>
        </w:rPr>
        <w:t>）监理人定期（每周）负责审查工程的资料归档及竣工验收工作，确保资料和工程同步，委托人不定期对其每周的工作进行检查，发现一次不符合要求处罚金额</w:t>
      </w:r>
      <w:r>
        <w:rPr>
          <w:rFonts w:ascii="宋体" w:hAnsi="宋体" w:cs="宋体"/>
          <w:color w:val="auto"/>
          <w:szCs w:val="21"/>
          <w:highlight w:val="none"/>
        </w:rPr>
        <w:t>2000</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次，工程竣工验收时，如因资料原因造成的损失，监理人应承担全部责任。工程监理资料收集不齐、管理混乱的，扣减</w:t>
      </w:r>
      <w:r>
        <w:rPr>
          <w:rFonts w:ascii="宋体" w:hAnsi="宋体" w:cs="宋体"/>
          <w:color w:val="auto"/>
          <w:szCs w:val="21"/>
          <w:highlight w:val="none"/>
        </w:rPr>
        <w:t>10000</w:t>
      </w:r>
      <w:r>
        <w:rPr>
          <w:rFonts w:hint="eastAsia" w:ascii="宋体" w:hAnsi="宋体" w:cs="宋体"/>
          <w:color w:val="auto"/>
          <w:szCs w:val="21"/>
          <w:highlight w:val="none"/>
        </w:rPr>
        <w:t>元监理费；缺损应由监理人存档的原始记录，每件文件扣减</w:t>
      </w:r>
      <w:r>
        <w:rPr>
          <w:rFonts w:ascii="宋体" w:hAnsi="宋体" w:cs="宋体"/>
          <w:color w:val="auto"/>
          <w:szCs w:val="21"/>
          <w:highlight w:val="none"/>
        </w:rPr>
        <w:t>10000</w:t>
      </w:r>
      <w:r>
        <w:rPr>
          <w:rFonts w:hint="eastAsia" w:ascii="宋体" w:hAnsi="宋体" w:cs="宋体"/>
          <w:color w:val="auto"/>
          <w:szCs w:val="21"/>
          <w:highlight w:val="none"/>
        </w:rPr>
        <w:t>元监理费。</w:t>
      </w:r>
      <w:r>
        <w:rPr>
          <w:rFonts w:ascii="宋体" w:hAnsi="宋体" w:cs="宋体"/>
          <w:color w:val="auto"/>
          <w:szCs w:val="21"/>
          <w:highlight w:val="none"/>
        </w:rPr>
        <w:t xml:space="preserve"> </w:t>
      </w:r>
    </w:p>
    <w:p w14:paraId="55F73DD7">
      <w:pPr>
        <w:pageBreakBefore w:val="0"/>
        <w:widowControl w:val="0"/>
        <w:kinsoku/>
        <w:wordWrap/>
        <w:overflowPunct/>
        <w:topLinePunct w:val="0"/>
        <w:autoSpaceDE/>
        <w:autoSpaceDN/>
        <w:bidi w:val="0"/>
        <w:spacing w:line="360" w:lineRule="auto"/>
        <w:ind w:firstLine="420" w:firstLineChars="200"/>
        <w:jc w:val="left"/>
        <w:textAlignment w:val="auto"/>
        <w:rPr>
          <w:rFonts w:ascii="宋体" w:cs="宋体"/>
          <w:color w:val="auto"/>
          <w:szCs w:val="21"/>
          <w:highlight w:val="none"/>
        </w:rPr>
      </w:pPr>
      <w:r>
        <w:rPr>
          <w:rFonts w:ascii="宋体" w:hAnsi="宋体" w:cs="宋体"/>
          <w:color w:val="auto"/>
          <w:szCs w:val="21"/>
          <w:highlight w:val="none"/>
        </w:rPr>
        <w:t>25</w:t>
      </w:r>
      <w:r>
        <w:rPr>
          <w:rFonts w:hint="eastAsia" w:ascii="宋体" w:hAnsi="宋体" w:cs="宋体"/>
          <w:color w:val="auto"/>
          <w:szCs w:val="21"/>
          <w:highlight w:val="none"/>
        </w:rPr>
        <w:t>）监理人必须在工程竣工后一个月内完善竣工资料报委托人；同时负责督促施工单位（含所有分包单位）完成竣工图及竣工资料（含相关图片、摄像资料、电子版等），经核验后归档。否则，按照</w:t>
      </w:r>
      <w:r>
        <w:rPr>
          <w:rFonts w:ascii="宋体" w:hAnsi="宋体" w:cs="宋体"/>
          <w:color w:val="auto"/>
          <w:szCs w:val="21"/>
          <w:highlight w:val="none"/>
        </w:rPr>
        <w:t>5000</w:t>
      </w:r>
      <w:r>
        <w:rPr>
          <w:rFonts w:hint="eastAsia" w:ascii="宋体" w:hAnsi="宋体" w:cs="宋体"/>
          <w:color w:val="auto"/>
          <w:szCs w:val="21"/>
          <w:highlight w:val="none"/>
        </w:rPr>
        <w:t>元</w:t>
      </w:r>
      <w:r>
        <w:rPr>
          <w:rFonts w:ascii="宋体" w:hAnsi="宋体" w:cs="宋体"/>
          <w:color w:val="auto"/>
          <w:szCs w:val="21"/>
          <w:highlight w:val="none"/>
        </w:rPr>
        <w:t>/</w:t>
      </w:r>
      <w:r>
        <w:rPr>
          <w:rFonts w:hint="eastAsia" w:ascii="宋体" w:hAnsi="宋体" w:cs="宋体"/>
          <w:color w:val="auto"/>
          <w:szCs w:val="21"/>
          <w:highlight w:val="none"/>
        </w:rPr>
        <w:t>月核减监理费（非监理人原因除外）。</w:t>
      </w:r>
      <w:r>
        <w:rPr>
          <w:rFonts w:ascii="宋体" w:hAnsi="宋体" w:cs="宋体"/>
          <w:color w:val="auto"/>
          <w:szCs w:val="21"/>
          <w:highlight w:val="none"/>
        </w:rPr>
        <w:t xml:space="preserve"> </w:t>
      </w:r>
    </w:p>
    <w:p w14:paraId="22893C65">
      <w:pPr>
        <w:pageBreakBefore w:val="0"/>
        <w:widowControl w:val="0"/>
        <w:kinsoku/>
        <w:wordWrap/>
        <w:overflowPunct/>
        <w:topLinePunct w:val="0"/>
        <w:autoSpaceDE/>
        <w:autoSpaceDN/>
        <w:bidi w:val="0"/>
        <w:spacing w:line="360" w:lineRule="auto"/>
        <w:ind w:firstLine="420" w:firstLineChars="200"/>
        <w:jc w:val="left"/>
        <w:textAlignment w:val="auto"/>
        <w:rPr>
          <w:rFonts w:asci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监理人应严格监理工作纪律，签约廉政协议，如监理人员徇私舞弊，弄虚作假，使工程遭受损失，除处理当事人外，情节严重的，委托人有权责令监理人退场，不支付监理费，并由监理人承担相关责任和赔偿经济损失。</w:t>
      </w:r>
      <w:r>
        <w:rPr>
          <w:rFonts w:ascii="宋体" w:hAnsi="宋体" w:cs="宋体"/>
          <w:color w:val="auto"/>
          <w:szCs w:val="21"/>
          <w:highlight w:val="none"/>
        </w:rPr>
        <w:t xml:space="preserve"> </w:t>
      </w:r>
    </w:p>
    <w:p w14:paraId="1A36A198">
      <w:pPr>
        <w:pageBreakBefore w:val="0"/>
        <w:widowControl w:val="0"/>
        <w:kinsoku/>
        <w:wordWrap/>
        <w:overflowPunct/>
        <w:topLinePunct w:val="0"/>
        <w:autoSpaceDE/>
        <w:autoSpaceDN/>
        <w:bidi w:val="0"/>
        <w:spacing w:line="360" w:lineRule="auto"/>
        <w:ind w:firstLine="420" w:firstLineChars="200"/>
        <w:jc w:val="left"/>
        <w:textAlignment w:val="auto"/>
        <w:rPr>
          <w:rFonts w:asci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）本工程不得以任何名义转包。如被甲方发现有违法行为时，甲方有权终止合同，并追究其法律责任。</w:t>
      </w:r>
      <w:r>
        <w:rPr>
          <w:rFonts w:ascii="宋体" w:hAnsi="宋体" w:cs="宋体"/>
          <w:color w:val="auto"/>
          <w:szCs w:val="21"/>
          <w:highlight w:val="none"/>
        </w:rPr>
        <w:t xml:space="preserve"> </w:t>
      </w:r>
    </w:p>
    <w:p w14:paraId="4A7BBBD5">
      <w:pPr>
        <w:pageBreakBefore w:val="0"/>
        <w:widowControl w:val="0"/>
        <w:kinsoku/>
        <w:wordWrap/>
        <w:overflowPunct/>
        <w:topLinePunct w:val="0"/>
        <w:autoSpaceDE/>
        <w:autoSpaceDN/>
        <w:bidi w:val="0"/>
        <w:spacing w:line="360" w:lineRule="auto"/>
        <w:ind w:firstLine="420" w:firstLineChars="200"/>
        <w:jc w:val="left"/>
        <w:textAlignment w:val="auto"/>
        <w:rPr>
          <w:rFonts w:ascii="宋体" w:cs="宋体"/>
          <w:color w:val="auto"/>
          <w:szCs w:val="21"/>
          <w:highlight w:val="none"/>
        </w:rPr>
      </w:pPr>
      <w:r>
        <w:rPr>
          <w:rFonts w:ascii="宋体" w:hAnsi="宋体" w:cs="宋体"/>
          <w:color w:val="auto"/>
          <w:szCs w:val="21"/>
          <w:highlight w:val="none"/>
        </w:rPr>
        <w:t>9.3</w:t>
      </w:r>
      <w:r>
        <w:rPr>
          <w:rFonts w:hint="eastAsia" w:ascii="宋体" w:hAnsi="宋体" w:cs="宋体"/>
          <w:color w:val="auto"/>
          <w:szCs w:val="21"/>
          <w:highlight w:val="none"/>
        </w:rPr>
        <w:t>其他：</w:t>
      </w:r>
    </w:p>
    <w:p w14:paraId="673AEED4">
      <w:pPr>
        <w:pageBreakBefore w:val="0"/>
        <w:widowControl w:val="0"/>
        <w:kinsoku/>
        <w:wordWrap/>
        <w:overflowPunct/>
        <w:topLinePunct w:val="0"/>
        <w:autoSpaceDE/>
        <w:autoSpaceDN/>
        <w:bidi w:val="0"/>
        <w:spacing w:line="360" w:lineRule="auto"/>
        <w:ind w:firstLine="420" w:firstLineChars="200"/>
        <w:jc w:val="left"/>
        <w:textAlignment w:val="auto"/>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）监理人必须在收到图纸、勘察资料等技术文件后</w:t>
      </w:r>
      <w:r>
        <w:rPr>
          <w:rFonts w:ascii="宋体" w:hAnsi="宋体" w:cs="宋体"/>
          <w:color w:val="auto"/>
          <w:szCs w:val="21"/>
          <w:highlight w:val="none"/>
        </w:rPr>
        <w:t>3</w:t>
      </w:r>
      <w:r>
        <w:rPr>
          <w:rFonts w:hint="eastAsia" w:ascii="宋体" w:hAnsi="宋体" w:cs="宋体"/>
          <w:color w:val="auto"/>
          <w:szCs w:val="21"/>
          <w:highlight w:val="none"/>
        </w:rPr>
        <w:t>日内向委托人提供针对本工程特点、重点、难点的《监理规划》。分多阶段制订详细的、有针对性的现场监理实施细则，和工程需要的专题监理实施细则，经委托人审核批准后执行，委托人以此具体考核监理人的监理工作。如委托人要求监理人对《监理规划》等进行调整，监理人必须在</w:t>
      </w:r>
      <w:r>
        <w:rPr>
          <w:rFonts w:ascii="宋体" w:hAnsi="宋体" w:cs="宋体"/>
          <w:color w:val="auto"/>
          <w:szCs w:val="21"/>
          <w:highlight w:val="none"/>
        </w:rPr>
        <w:t>3</w:t>
      </w:r>
      <w:r>
        <w:rPr>
          <w:rFonts w:hint="eastAsia" w:ascii="宋体" w:hAnsi="宋体" w:cs="宋体"/>
          <w:color w:val="auto"/>
          <w:szCs w:val="21"/>
          <w:highlight w:val="none"/>
        </w:rPr>
        <w:t>日内完成调整，并报委托人审批每个分部工程开工前须提交一份该分部工程的质量通病或可能产生的质量问题、采取的预防措施和施工过程中有针对性的办法。</w:t>
      </w:r>
      <w:r>
        <w:rPr>
          <w:rFonts w:ascii="宋体" w:hAnsi="宋体" w:cs="宋体"/>
          <w:color w:val="auto"/>
          <w:szCs w:val="21"/>
          <w:highlight w:val="none"/>
        </w:rPr>
        <w:t xml:space="preserve"> </w:t>
      </w:r>
    </w:p>
    <w:p w14:paraId="0D2603DA">
      <w:pPr>
        <w:pageBreakBefore w:val="0"/>
        <w:widowControl w:val="0"/>
        <w:kinsoku/>
        <w:wordWrap/>
        <w:overflowPunct/>
        <w:topLinePunct w:val="0"/>
        <w:autoSpaceDE/>
        <w:autoSpaceDN/>
        <w:bidi w:val="0"/>
        <w:spacing w:line="360" w:lineRule="auto"/>
        <w:ind w:firstLine="420" w:firstLineChars="200"/>
        <w:jc w:val="left"/>
        <w:textAlignment w:val="auto"/>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）总监必须常驻现场与委托人工程师密切配合，协调好各方关系，确保工程质量，并定期向委托人提交监理工作报表。</w:t>
      </w:r>
      <w:r>
        <w:rPr>
          <w:rFonts w:ascii="宋体" w:hAnsi="宋体" w:cs="宋体"/>
          <w:color w:val="auto"/>
          <w:szCs w:val="21"/>
          <w:highlight w:val="none"/>
        </w:rPr>
        <w:t xml:space="preserve"> </w:t>
      </w:r>
    </w:p>
    <w:p w14:paraId="14437142">
      <w:pPr>
        <w:pageBreakBefore w:val="0"/>
        <w:widowControl w:val="0"/>
        <w:kinsoku/>
        <w:wordWrap/>
        <w:overflowPunct/>
        <w:topLinePunct w:val="0"/>
        <w:autoSpaceDE/>
        <w:autoSpaceDN/>
        <w:bidi w:val="0"/>
        <w:spacing w:line="360" w:lineRule="auto"/>
        <w:ind w:firstLine="420" w:firstLineChars="200"/>
        <w:jc w:val="left"/>
        <w:textAlignment w:val="auto"/>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）监理人在开工后，应及时制定承包人管理及工程质量管理的细则提交委托人。并定期（每周）进行一次考核，将考核情况上报给委托人。</w:t>
      </w:r>
      <w:r>
        <w:rPr>
          <w:rFonts w:ascii="宋体" w:hAnsi="宋体" w:cs="宋体"/>
          <w:color w:val="auto"/>
          <w:szCs w:val="21"/>
          <w:highlight w:val="none"/>
        </w:rPr>
        <w:t xml:space="preserve"> </w:t>
      </w:r>
    </w:p>
    <w:p w14:paraId="7C64322F">
      <w:pPr>
        <w:pageBreakBefore w:val="0"/>
        <w:widowControl w:val="0"/>
        <w:kinsoku/>
        <w:wordWrap/>
        <w:overflowPunct/>
        <w:topLinePunct w:val="0"/>
        <w:autoSpaceDE/>
        <w:autoSpaceDN/>
        <w:bidi w:val="0"/>
        <w:spacing w:line="360" w:lineRule="auto"/>
        <w:ind w:firstLine="396" w:firstLineChars="200"/>
        <w:jc w:val="left"/>
        <w:textAlignment w:val="auto"/>
        <w:rPr>
          <w:rFonts w:ascii="宋体" w:cs="宋体"/>
          <w:color w:val="auto"/>
          <w:spacing w:val="-6"/>
          <w:szCs w:val="21"/>
          <w:highlight w:val="none"/>
        </w:rPr>
      </w:pPr>
      <w:r>
        <w:rPr>
          <w:rFonts w:ascii="宋体" w:hAnsi="宋体" w:cs="宋体"/>
          <w:color w:val="auto"/>
          <w:spacing w:val="-6"/>
          <w:szCs w:val="21"/>
          <w:highlight w:val="none"/>
        </w:rPr>
        <w:t>4</w:t>
      </w:r>
      <w:r>
        <w:rPr>
          <w:rFonts w:hint="eastAsia" w:ascii="宋体" w:hAnsi="宋体" w:cs="宋体"/>
          <w:color w:val="auto"/>
          <w:spacing w:val="-6"/>
          <w:szCs w:val="21"/>
          <w:highlight w:val="none"/>
        </w:rPr>
        <w:t>）监理人应审核承包人提出工程总进度计划，对总进度计划是否满足规定的竣工日期的要求提出意见。</w:t>
      </w:r>
      <w:r>
        <w:rPr>
          <w:rFonts w:ascii="宋体" w:hAnsi="宋体" w:cs="宋体"/>
          <w:color w:val="auto"/>
          <w:spacing w:val="-6"/>
          <w:szCs w:val="21"/>
          <w:highlight w:val="none"/>
        </w:rPr>
        <w:t xml:space="preserve"> </w:t>
      </w:r>
    </w:p>
    <w:p w14:paraId="5E708F2F">
      <w:pPr>
        <w:pageBreakBefore w:val="0"/>
        <w:widowControl w:val="0"/>
        <w:kinsoku/>
        <w:wordWrap/>
        <w:overflowPunct/>
        <w:topLinePunct w:val="0"/>
        <w:autoSpaceDE/>
        <w:autoSpaceDN/>
        <w:bidi w:val="0"/>
        <w:spacing w:line="360" w:lineRule="auto"/>
        <w:ind w:firstLine="420" w:firstLineChars="200"/>
        <w:jc w:val="left"/>
        <w:textAlignment w:val="auto"/>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）监理人应对工程加强事前监理，在分部分项工程施工前，应要求承包人上报施工方案及所采取的措施，经监理人审核报委托人同意后方可实施。</w:t>
      </w:r>
      <w:r>
        <w:rPr>
          <w:rFonts w:ascii="宋体" w:hAnsi="宋体" w:cs="宋体"/>
          <w:color w:val="auto"/>
          <w:szCs w:val="21"/>
          <w:highlight w:val="none"/>
        </w:rPr>
        <w:t xml:space="preserve"> </w:t>
      </w:r>
    </w:p>
    <w:p w14:paraId="406237B5">
      <w:pPr>
        <w:pageBreakBefore w:val="0"/>
        <w:widowControl w:val="0"/>
        <w:kinsoku/>
        <w:wordWrap/>
        <w:overflowPunct/>
        <w:topLinePunct w:val="0"/>
        <w:autoSpaceDE/>
        <w:autoSpaceDN/>
        <w:bidi w:val="0"/>
        <w:spacing w:line="360" w:lineRule="auto"/>
        <w:ind w:firstLine="420" w:firstLineChars="200"/>
        <w:jc w:val="left"/>
        <w:textAlignment w:val="auto"/>
        <w:rPr>
          <w:rFonts w:asci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）监理人应对施工过程进行全过程监理，及时发现施工过程中所出现的问题，认真落实监理工作，对整个施工阶段的全过程进行监理，严把质量关，旁站跟踪检查，做到事前有布置，事中有检查，事后有总结。</w:t>
      </w:r>
      <w:r>
        <w:rPr>
          <w:rFonts w:ascii="宋体" w:hAnsi="宋体" w:cs="宋体"/>
          <w:color w:val="auto"/>
          <w:szCs w:val="21"/>
          <w:highlight w:val="none"/>
        </w:rPr>
        <w:t xml:space="preserve"> </w:t>
      </w:r>
    </w:p>
    <w:p w14:paraId="034F30F5">
      <w:pPr>
        <w:pageBreakBefore w:val="0"/>
        <w:widowControl w:val="0"/>
        <w:kinsoku/>
        <w:wordWrap/>
        <w:overflowPunct/>
        <w:topLinePunct w:val="0"/>
        <w:autoSpaceDE/>
        <w:autoSpaceDN/>
        <w:bidi w:val="0"/>
        <w:spacing w:line="360" w:lineRule="auto"/>
        <w:ind w:firstLine="396" w:firstLineChars="200"/>
        <w:jc w:val="left"/>
        <w:textAlignment w:val="auto"/>
        <w:rPr>
          <w:rFonts w:ascii="宋体" w:cs="宋体"/>
          <w:color w:val="auto"/>
          <w:spacing w:val="-6"/>
          <w:szCs w:val="21"/>
          <w:highlight w:val="none"/>
        </w:rPr>
      </w:pPr>
      <w:r>
        <w:rPr>
          <w:rFonts w:ascii="宋体" w:hAnsi="宋体" w:cs="宋体"/>
          <w:color w:val="auto"/>
          <w:spacing w:val="-6"/>
          <w:szCs w:val="21"/>
          <w:highlight w:val="none"/>
        </w:rPr>
        <w:t>7</w:t>
      </w:r>
      <w:r>
        <w:rPr>
          <w:rFonts w:hint="eastAsia" w:ascii="宋体" w:hAnsi="宋体" w:cs="宋体"/>
          <w:color w:val="auto"/>
          <w:spacing w:val="-6"/>
          <w:szCs w:val="21"/>
          <w:highlight w:val="none"/>
        </w:rPr>
        <w:t>）监理人员应根据现场进度情况，即时进行检查验收，以确保承包人能及时转入到下一步工序的施工。</w:t>
      </w:r>
      <w:r>
        <w:rPr>
          <w:rFonts w:ascii="宋体" w:hAnsi="宋体" w:cs="宋体"/>
          <w:color w:val="auto"/>
          <w:spacing w:val="-6"/>
          <w:szCs w:val="21"/>
          <w:highlight w:val="none"/>
        </w:rPr>
        <w:t xml:space="preserve"> </w:t>
      </w:r>
    </w:p>
    <w:p w14:paraId="1C085975">
      <w:pPr>
        <w:pageBreakBefore w:val="0"/>
        <w:widowControl w:val="0"/>
        <w:kinsoku/>
        <w:wordWrap/>
        <w:overflowPunct/>
        <w:topLinePunct w:val="0"/>
        <w:autoSpaceDE/>
        <w:autoSpaceDN/>
        <w:bidi w:val="0"/>
        <w:spacing w:line="360" w:lineRule="auto"/>
        <w:ind w:firstLine="420" w:firstLineChars="200"/>
        <w:jc w:val="left"/>
        <w:textAlignment w:val="auto"/>
        <w:rPr>
          <w:rFonts w:ascii="宋体" w:cs="宋体"/>
          <w:color w:val="auto"/>
          <w:szCs w:val="21"/>
          <w:highlight w:val="none"/>
        </w:rPr>
      </w:pPr>
      <w:r>
        <w:rPr>
          <w:rFonts w:ascii="宋体" w:hAnsi="宋体" w:cs="宋体"/>
          <w:color w:val="auto"/>
          <w:szCs w:val="21"/>
          <w:highlight w:val="none"/>
        </w:rPr>
        <w:t>8</w:t>
      </w:r>
      <w:r>
        <w:rPr>
          <w:rFonts w:hint="eastAsia" w:ascii="宋体" w:hAnsi="宋体" w:cs="宋体"/>
          <w:color w:val="auto"/>
          <w:szCs w:val="21"/>
          <w:highlight w:val="none"/>
        </w:rPr>
        <w:t>）工程施工过程中各项工程变更、签证、用料咨询等审核工作，在提交监理人后，监理人应于</w:t>
      </w:r>
      <w:r>
        <w:rPr>
          <w:rFonts w:ascii="宋体" w:hAnsi="宋体" w:cs="宋体"/>
          <w:color w:val="auto"/>
          <w:szCs w:val="21"/>
          <w:highlight w:val="none"/>
        </w:rPr>
        <w:t xml:space="preserve"> 3 </w:t>
      </w:r>
      <w:r>
        <w:rPr>
          <w:rFonts w:hint="eastAsia" w:ascii="宋体" w:hAnsi="宋体" w:cs="宋体"/>
          <w:color w:val="auto"/>
          <w:szCs w:val="21"/>
          <w:highlight w:val="none"/>
        </w:rPr>
        <w:t>日内审核完毕。如遇特殊情况需要延长审核日期，须与委托人协商处理。</w:t>
      </w:r>
      <w:r>
        <w:rPr>
          <w:rFonts w:ascii="宋体" w:hAnsi="宋体" w:cs="宋体"/>
          <w:color w:val="auto"/>
          <w:szCs w:val="21"/>
          <w:highlight w:val="none"/>
        </w:rPr>
        <w:t xml:space="preserve"> </w:t>
      </w:r>
    </w:p>
    <w:p w14:paraId="49AAE0FD">
      <w:pPr>
        <w:pageBreakBefore w:val="0"/>
        <w:widowControl w:val="0"/>
        <w:kinsoku/>
        <w:wordWrap/>
        <w:overflowPunct/>
        <w:topLinePunct w:val="0"/>
        <w:autoSpaceDE/>
        <w:autoSpaceDN/>
        <w:bidi w:val="0"/>
        <w:spacing w:line="360" w:lineRule="auto"/>
        <w:ind w:firstLine="420" w:firstLineChars="200"/>
        <w:jc w:val="left"/>
        <w:textAlignment w:val="auto"/>
        <w:rPr>
          <w:rFonts w:ascii="宋体" w:cs="宋体"/>
          <w:color w:val="auto"/>
          <w:szCs w:val="21"/>
          <w:highlight w:val="none"/>
        </w:rPr>
      </w:pPr>
      <w:r>
        <w:rPr>
          <w:rFonts w:ascii="宋体" w:hAnsi="宋体" w:cs="宋体"/>
          <w:color w:val="auto"/>
          <w:szCs w:val="21"/>
          <w:highlight w:val="none"/>
        </w:rPr>
        <w:t>9</w:t>
      </w:r>
      <w:r>
        <w:rPr>
          <w:rFonts w:hint="eastAsia" w:ascii="宋体" w:hAnsi="宋体" w:cs="宋体"/>
          <w:color w:val="auto"/>
          <w:szCs w:val="21"/>
          <w:highlight w:val="none"/>
        </w:rPr>
        <w:t>）监理人协助各方进行现场技术核定，审核工程签证的工程量。对可能产生额外工程量地方及时报告委托人，对超出承包合同之外的设计修改审查，涉及费用的及时提建议给委托人并征得委托人签字、盖章证认可方为有效。所有设计变更、工程签证、技术核定等资料均需要委托人、监理、跟踪审计、承包人，共同现场签字、签字方为有效。</w:t>
      </w:r>
      <w:r>
        <w:rPr>
          <w:rFonts w:ascii="宋体" w:hAnsi="宋体" w:cs="宋体"/>
          <w:color w:val="auto"/>
          <w:szCs w:val="21"/>
          <w:highlight w:val="none"/>
        </w:rPr>
        <w:t xml:space="preserve"> </w:t>
      </w:r>
    </w:p>
    <w:p w14:paraId="3CA751E9">
      <w:pPr>
        <w:pageBreakBefore w:val="0"/>
        <w:widowControl w:val="0"/>
        <w:kinsoku/>
        <w:wordWrap/>
        <w:overflowPunct/>
        <w:topLinePunct w:val="0"/>
        <w:autoSpaceDE/>
        <w:autoSpaceDN/>
        <w:bidi w:val="0"/>
        <w:spacing w:line="360" w:lineRule="auto"/>
        <w:ind w:firstLine="420" w:firstLineChars="200"/>
        <w:jc w:val="left"/>
        <w:textAlignment w:val="auto"/>
        <w:rPr>
          <w:rFonts w:ascii="宋体" w:cs="宋体"/>
          <w:color w:val="auto"/>
          <w:szCs w:val="21"/>
          <w:highlight w:val="none"/>
        </w:rPr>
      </w:pPr>
      <w:r>
        <w:rPr>
          <w:rFonts w:ascii="宋体" w:hAnsi="宋体" w:cs="宋体"/>
          <w:color w:val="auto"/>
          <w:szCs w:val="21"/>
          <w:highlight w:val="none"/>
        </w:rPr>
        <w:t>10</w:t>
      </w:r>
      <w:r>
        <w:rPr>
          <w:rFonts w:hint="eastAsia" w:ascii="宋体" w:hAnsi="宋体" w:cs="宋体"/>
          <w:color w:val="auto"/>
          <w:szCs w:val="21"/>
          <w:highlight w:val="none"/>
        </w:rPr>
        <w:t>）监理人会签有关各种设计变更，应侧重审查对工程质量、进度、成本控制是否有不利影响，如发现有不利影响时，应明确提出监理意见，及时向委托人反映。</w:t>
      </w:r>
      <w:r>
        <w:rPr>
          <w:rFonts w:ascii="宋体" w:hAnsi="宋体" w:cs="宋体"/>
          <w:color w:val="auto"/>
          <w:szCs w:val="21"/>
          <w:highlight w:val="none"/>
        </w:rPr>
        <w:t xml:space="preserve"> </w:t>
      </w:r>
    </w:p>
    <w:p w14:paraId="3F782D75">
      <w:pPr>
        <w:pageBreakBefore w:val="0"/>
        <w:widowControl w:val="0"/>
        <w:kinsoku/>
        <w:wordWrap/>
        <w:overflowPunct/>
        <w:topLinePunct w:val="0"/>
        <w:autoSpaceDE/>
        <w:autoSpaceDN/>
        <w:bidi w:val="0"/>
        <w:spacing w:line="360" w:lineRule="auto"/>
        <w:ind w:firstLine="420" w:firstLineChars="200"/>
        <w:jc w:val="left"/>
        <w:textAlignment w:val="auto"/>
        <w:rPr>
          <w:rFonts w:ascii="宋体" w:cs="宋体"/>
          <w:color w:val="auto"/>
          <w:szCs w:val="21"/>
          <w:highlight w:val="none"/>
        </w:rPr>
      </w:pPr>
      <w:r>
        <w:rPr>
          <w:rFonts w:ascii="宋体" w:hAnsi="宋体" w:cs="宋体"/>
          <w:color w:val="auto"/>
          <w:szCs w:val="21"/>
          <w:highlight w:val="none"/>
        </w:rPr>
        <w:t>11</w:t>
      </w:r>
      <w:r>
        <w:rPr>
          <w:rFonts w:hint="eastAsia" w:ascii="宋体" w:hAnsi="宋体" w:cs="宋体"/>
          <w:color w:val="auto"/>
          <w:szCs w:val="21"/>
          <w:highlight w:val="none"/>
        </w:rPr>
        <w:t>）监理人与委托人、承包人的一切工作联系必须采用书面方式。对于特殊及紧急情况下处理的事情须在事后及时补办书面手续。</w:t>
      </w:r>
      <w:r>
        <w:rPr>
          <w:rFonts w:ascii="宋体" w:hAnsi="宋体" w:cs="宋体"/>
          <w:color w:val="auto"/>
          <w:szCs w:val="21"/>
          <w:highlight w:val="none"/>
        </w:rPr>
        <w:t xml:space="preserve"> </w:t>
      </w:r>
    </w:p>
    <w:p w14:paraId="1326F494">
      <w:pPr>
        <w:pageBreakBefore w:val="0"/>
        <w:widowControl w:val="0"/>
        <w:kinsoku/>
        <w:wordWrap/>
        <w:overflowPunct/>
        <w:topLinePunct w:val="0"/>
        <w:autoSpaceDE/>
        <w:autoSpaceDN/>
        <w:bidi w:val="0"/>
        <w:spacing w:line="360" w:lineRule="auto"/>
        <w:ind w:firstLine="420" w:firstLineChars="200"/>
        <w:jc w:val="left"/>
        <w:textAlignment w:val="auto"/>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2）监理人负责审查核验委托人、承包人提供的材料和设备清单及所列的规格、数量、型号及质量是否符合设计要求，对不符合设计和国家规范标准要求的材料和设备，在征得委托人同意后，有权责令退场。</w:t>
      </w:r>
      <w:r>
        <w:rPr>
          <w:rFonts w:ascii="宋体" w:hAnsi="宋体" w:cs="宋体"/>
          <w:color w:val="auto"/>
          <w:szCs w:val="21"/>
          <w:highlight w:val="none"/>
        </w:rPr>
        <w:t xml:space="preserve"> </w:t>
      </w:r>
    </w:p>
    <w:p w14:paraId="69D741F3">
      <w:pPr>
        <w:pageBreakBefore w:val="0"/>
        <w:widowControl w:val="0"/>
        <w:kinsoku/>
        <w:wordWrap/>
        <w:overflowPunct/>
        <w:topLinePunct w:val="0"/>
        <w:autoSpaceDE/>
        <w:autoSpaceDN/>
        <w:bidi w:val="0"/>
        <w:spacing w:line="360" w:lineRule="auto"/>
        <w:ind w:firstLine="420" w:firstLineChars="200"/>
        <w:jc w:val="left"/>
        <w:textAlignment w:val="auto"/>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本工程中使用各特殊工艺、重要的部位及新材料、新产品、新工艺、新技术应用应取得委托人的批准，由监理人按质量标准、工艺操作要求监督实施，并按质量标准和检验要求进行质量验收和检验，把好样板审核关，明确工艺流程和质量标准，经审查合格后方可大面积展开。</w:t>
      </w:r>
      <w:r>
        <w:rPr>
          <w:rFonts w:ascii="宋体" w:hAnsi="宋体" w:cs="宋体"/>
          <w:color w:val="auto"/>
          <w:szCs w:val="21"/>
          <w:highlight w:val="none"/>
        </w:rPr>
        <w:t xml:space="preserve"> </w:t>
      </w:r>
    </w:p>
    <w:p w14:paraId="544D825A">
      <w:pPr>
        <w:pageBreakBefore w:val="0"/>
        <w:widowControl w:val="0"/>
        <w:kinsoku/>
        <w:wordWrap/>
        <w:overflowPunct/>
        <w:topLinePunct w:val="0"/>
        <w:autoSpaceDE/>
        <w:autoSpaceDN/>
        <w:bidi w:val="0"/>
        <w:spacing w:line="360" w:lineRule="auto"/>
        <w:ind w:firstLine="420" w:firstLineChars="200"/>
        <w:jc w:val="left"/>
        <w:textAlignment w:val="auto"/>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监理人应监督施工单位按照施工组织设计中的安全技术措施和安全专项施工方案组织施工，指导现场安全保卫工作，严格加强对承包人的安全生产管理和现场的安全监督，及时制止违规施工作业确保安全生产。</w:t>
      </w:r>
      <w:r>
        <w:rPr>
          <w:rFonts w:ascii="宋体" w:hAnsi="宋体" w:cs="宋体"/>
          <w:color w:val="auto"/>
          <w:szCs w:val="21"/>
          <w:highlight w:val="none"/>
        </w:rPr>
        <w:t xml:space="preserve"> </w:t>
      </w:r>
    </w:p>
    <w:p w14:paraId="46097F9B">
      <w:pPr>
        <w:pageBreakBefore w:val="0"/>
        <w:widowControl w:val="0"/>
        <w:kinsoku/>
        <w:wordWrap/>
        <w:overflowPunct/>
        <w:topLinePunct w:val="0"/>
        <w:autoSpaceDE/>
        <w:autoSpaceDN/>
        <w:bidi w:val="0"/>
        <w:spacing w:line="360" w:lineRule="auto"/>
        <w:ind w:firstLine="420" w:firstLineChars="200"/>
        <w:jc w:val="left"/>
        <w:textAlignment w:val="auto"/>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5）监理人应监督和定期（每天不少于一次）检查施工总包单位现场施工的安全、文明措施并作好记录，有隐患及时要求相关单位整改，同时向委托人汇报。在施工过程中严格执行省安全文明施工管理条例。每周向委托人做一次书面汇报。</w:t>
      </w:r>
      <w:r>
        <w:rPr>
          <w:rFonts w:ascii="宋体" w:hAnsi="宋体" w:cs="宋体"/>
          <w:color w:val="auto"/>
          <w:szCs w:val="21"/>
          <w:highlight w:val="none"/>
        </w:rPr>
        <w:t xml:space="preserve"> </w:t>
      </w:r>
    </w:p>
    <w:p w14:paraId="0B284955">
      <w:pPr>
        <w:pageBreakBefore w:val="0"/>
        <w:widowControl w:val="0"/>
        <w:kinsoku/>
        <w:wordWrap/>
        <w:overflowPunct/>
        <w:topLinePunct w:val="0"/>
        <w:autoSpaceDE/>
        <w:autoSpaceDN/>
        <w:bidi w:val="0"/>
        <w:spacing w:line="360" w:lineRule="auto"/>
        <w:ind w:firstLine="420" w:firstLineChars="200"/>
        <w:jc w:val="left"/>
        <w:textAlignment w:val="auto"/>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6）监理人协助委托人组织施工总包单位、设计单位研究处理工程质量、安全事故，监督整改方案的实施，并监督检查整改工作实施。</w:t>
      </w:r>
      <w:r>
        <w:rPr>
          <w:rFonts w:ascii="宋体" w:hAnsi="宋体" w:cs="宋体"/>
          <w:color w:val="auto"/>
          <w:szCs w:val="21"/>
          <w:highlight w:val="none"/>
        </w:rPr>
        <w:t xml:space="preserve"> </w:t>
      </w:r>
    </w:p>
    <w:p w14:paraId="1E34296A">
      <w:pPr>
        <w:pageBreakBefore w:val="0"/>
        <w:widowControl w:val="0"/>
        <w:kinsoku/>
        <w:wordWrap/>
        <w:overflowPunct/>
        <w:topLinePunct w:val="0"/>
        <w:autoSpaceDE/>
        <w:autoSpaceDN/>
        <w:bidi w:val="0"/>
        <w:spacing w:line="360" w:lineRule="auto"/>
        <w:ind w:firstLine="420" w:firstLineChars="200"/>
        <w:jc w:val="left"/>
        <w:textAlignment w:val="auto"/>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7）监理人协助相关单位进行单位工程竣工验收工作，协助相关单位进行全部工程竣工验收工作，审核竣工图，竣工工程的实体和资料的移交工作。</w:t>
      </w:r>
      <w:r>
        <w:rPr>
          <w:rFonts w:ascii="宋体" w:hAnsi="宋体" w:cs="宋体"/>
          <w:color w:val="auto"/>
          <w:szCs w:val="21"/>
          <w:highlight w:val="none"/>
        </w:rPr>
        <w:t xml:space="preserve"> </w:t>
      </w:r>
    </w:p>
    <w:p w14:paraId="0E4810A6">
      <w:pPr>
        <w:pageBreakBefore w:val="0"/>
        <w:widowControl w:val="0"/>
        <w:kinsoku/>
        <w:wordWrap/>
        <w:overflowPunct/>
        <w:topLinePunct w:val="0"/>
        <w:autoSpaceDE/>
        <w:autoSpaceDN/>
        <w:bidi w:val="0"/>
        <w:spacing w:line="360" w:lineRule="auto"/>
        <w:ind w:firstLine="420" w:firstLineChars="200"/>
        <w:jc w:val="left"/>
        <w:textAlignment w:val="auto"/>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8）监理人审查各承包单位编制的竣工资料、竣工图，保证其正确无误，并及时提交委托人。</w:t>
      </w:r>
    </w:p>
    <w:p w14:paraId="47C554AA">
      <w:pPr>
        <w:pageBreakBefore w:val="0"/>
        <w:widowControl w:val="0"/>
        <w:kinsoku/>
        <w:wordWrap/>
        <w:overflowPunct/>
        <w:topLinePunct w:val="0"/>
        <w:autoSpaceDE/>
        <w:autoSpaceDN/>
        <w:bidi w:val="0"/>
        <w:spacing w:line="360" w:lineRule="auto"/>
        <w:ind w:firstLine="420" w:firstLineChars="200"/>
        <w:jc w:val="left"/>
        <w:textAlignment w:val="auto"/>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9）监理人应督促施工方并协助委托人落实工程资料的收集整理，归档装订，并达到相关部门的备案要求。建立施工过程的监理档案，在工程竣工验收一个月内，报送</w:t>
      </w:r>
      <w:r>
        <w:rPr>
          <w:rFonts w:ascii="宋体" w:hAnsi="宋体" w:cs="宋体"/>
          <w:color w:val="auto"/>
          <w:szCs w:val="21"/>
          <w:highlight w:val="none"/>
        </w:rPr>
        <w:t>4</w:t>
      </w:r>
      <w:r>
        <w:rPr>
          <w:rFonts w:hint="eastAsia" w:ascii="宋体" w:hAnsi="宋体" w:cs="宋体"/>
          <w:color w:val="auto"/>
          <w:szCs w:val="21"/>
          <w:highlight w:val="none"/>
        </w:rPr>
        <w:t>套完整监理资料（含工程监理影像资料）给委托人，监理资料一式两份（原件）。</w:t>
      </w:r>
      <w:r>
        <w:rPr>
          <w:rFonts w:ascii="宋体" w:hAnsi="宋体" w:cs="宋体"/>
          <w:color w:val="auto"/>
          <w:szCs w:val="21"/>
          <w:highlight w:val="none"/>
        </w:rPr>
        <w:t xml:space="preserve"> </w:t>
      </w:r>
    </w:p>
    <w:p w14:paraId="3F7FD91D">
      <w:pPr>
        <w:pageBreakBefore w:val="0"/>
        <w:widowControl w:val="0"/>
        <w:kinsoku/>
        <w:wordWrap/>
        <w:overflowPunct/>
        <w:topLinePunct w:val="0"/>
        <w:autoSpaceDE/>
        <w:autoSpaceDN/>
        <w:bidi w:val="0"/>
        <w:spacing w:line="360" w:lineRule="auto"/>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20）项目监理部应建立完善的工程计量档案管理制度，对具有保存价值的各种载体的计量文件，影像资料等均应收集齐全，整理立卷后归档。</w:t>
      </w:r>
      <w:r>
        <w:rPr>
          <w:rFonts w:ascii="宋体" w:hAnsi="宋体" w:cs="宋体"/>
          <w:color w:val="auto"/>
          <w:szCs w:val="21"/>
          <w:highlight w:val="none"/>
        </w:rPr>
        <w:t xml:space="preserve"> </w:t>
      </w:r>
    </w:p>
    <w:p w14:paraId="1690A1D8">
      <w:pPr>
        <w:pageBreakBefore w:val="0"/>
        <w:widowControl w:val="0"/>
        <w:kinsoku/>
        <w:wordWrap/>
        <w:overflowPunct/>
        <w:topLinePunct w:val="0"/>
        <w:autoSpaceDE/>
        <w:autoSpaceDN/>
        <w:bidi w:val="0"/>
        <w:spacing w:line="360" w:lineRule="auto"/>
        <w:ind w:firstLine="420" w:firstLineChars="200"/>
        <w:jc w:val="left"/>
        <w:textAlignment w:val="auto"/>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1）因监理人自身原因拖欠施工现场监理人员工资，由此引发的一切责任均由监理人全部承担。</w:t>
      </w:r>
      <w:r>
        <w:rPr>
          <w:rFonts w:ascii="宋体" w:hAnsi="宋体" w:cs="宋体"/>
          <w:color w:val="auto"/>
          <w:szCs w:val="21"/>
          <w:highlight w:val="none"/>
        </w:rPr>
        <w:t xml:space="preserve"> </w:t>
      </w:r>
    </w:p>
    <w:p w14:paraId="372E74FF">
      <w:pPr>
        <w:pageBreakBefore w:val="0"/>
        <w:widowControl w:val="0"/>
        <w:kinsoku/>
        <w:wordWrap/>
        <w:overflowPunct/>
        <w:topLinePunct w:val="0"/>
        <w:autoSpaceDE/>
        <w:autoSpaceDN/>
        <w:bidi w:val="0"/>
        <w:spacing w:line="360" w:lineRule="auto"/>
        <w:ind w:firstLine="420" w:firstLineChars="200"/>
        <w:jc w:val="left"/>
        <w:textAlignment w:val="auto"/>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2）监理工作中的主要监理人员应自行配备通信联络工具且要保证</w:t>
      </w:r>
      <w:r>
        <w:rPr>
          <w:rFonts w:ascii="宋体" w:hAnsi="宋体" w:cs="宋体"/>
          <w:color w:val="auto"/>
          <w:szCs w:val="21"/>
          <w:highlight w:val="none"/>
        </w:rPr>
        <w:t>24</w:t>
      </w:r>
      <w:r>
        <w:rPr>
          <w:rFonts w:hint="eastAsia" w:ascii="宋体" w:hAnsi="宋体" w:cs="宋体"/>
          <w:color w:val="auto"/>
          <w:szCs w:val="21"/>
          <w:highlight w:val="none"/>
        </w:rPr>
        <w:t>小时联络畅通，上下班交通由监理人自行解决。</w:t>
      </w:r>
    </w:p>
    <w:p w14:paraId="11E93F18">
      <w:pPr>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3）在工程监理过程中，若委托人发现监理人控制不力，协调能力差，不能正常有效地开展工作，委托人有权要求监理人更换有关人员；如还不能有效实行三大控制及保障施工安全，则委托人有权提前终止履行合同；由此所造成的损失，由监理人自负，同时监理人将自动丧失在委托人的招投标资格。因监理人失职，造成安全事故、影响安全使用或导致经济损失后果的，除扣回全部监理费外，赔偿一切经济损失，另视情节轻重，按给业主所造成损失部分的</w:t>
      </w:r>
      <w:r>
        <w:rPr>
          <w:rFonts w:ascii="宋体" w:hAnsi="宋体" w:cs="宋体"/>
          <w:color w:val="auto"/>
          <w:szCs w:val="21"/>
          <w:highlight w:val="none"/>
        </w:rPr>
        <w:t>10%</w:t>
      </w:r>
      <w:r>
        <w:rPr>
          <w:rFonts w:hint="eastAsia" w:ascii="宋体" w:hAnsi="宋体" w:cs="宋体"/>
          <w:color w:val="auto"/>
          <w:szCs w:val="21"/>
          <w:highlight w:val="none"/>
        </w:rPr>
        <w:t>予以处罚，直至终止合同。由于监理失职或工作不力，发生了附加工作或延长了监理服务时间，不应得到附加工作报酬或额外工作报酬。</w:t>
      </w:r>
      <w:r>
        <w:rPr>
          <w:rFonts w:ascii="宋体" w:hAnsi="宋体" w:cs="宋体"/>
          <w:color w:val="auto"/>
          <w:szCs w:val="21"/>
          <w:highlight w:val="none"/>
        </w:rPr>
        <w:t xml:space="preserve"> </w:t>
      </w:r>
    </w:p>
    <w:p w14:paraId="6604027E">
      <w:pPr>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4）监理应自觉提高安全意识，做好现场安全防护措施，监理人员的一切安全责任及措施费用概由监理人自行负责。</w:t>
      </w:r>
    </w:p>
    <w:p w14:paraId="3602EE05">
      <w:pPr>
        <w:pageBreakBefore w:val="0"/>
        <w:widowControl w:val="0"/>
        <w:kinsoku/>
        <w:wordWrap/>
        <w:overflowPunct/>
        <w:topLinePunct w:val="0"/>
        <w:autoSpaceDE/>
        <w:autoSpaceDN/>
        <w:bidi w:val="0"/>
        <w:spacing w:line="360" w:lineRule="auto"/>
        <w:ind w:firstLine="420" w:firstLineChars="200"/>
        <w:jc w:val="left"/>
        <w:textAlignment w:val="auto"/>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5）监理招标文件与投标文件均为本合同组成部分，与本合同具有同等法律效力，内容不一致的，以本合同为准。</w:t>
      </w:r>
      <w:r>
        <w:rPr>
          <w:rFonts w:ascii="宋体" w:hAnsi="宋体" w:cs="宋体"/>
          <w:color w:val="auto"/>
          <w:szCs w:val="21"/>
          <w:highlight w:val="none"/>
        </w:rPr>
        <w:t xml:space="preserve"> </w:t>
      </w:r>
    </w:p>
    <w:p w14:paraId="74BA1C6E">
      <w:pPr>
        <w:pageBreakBefore w:val="0"/>
        <w:widowControl w:val="0"/>
        <w:kinsoku/>
        <w:wordWrap/>
        <w:overflowPunct/>
        <w:topLinePunct w:val="0"/>
        <w:autoSpaceDE/>
        <w:autoSpaceDN/>
        <w:bidi w:val="0"/>
        <w:spacing w:line="360" w:lineRule="auto"/>
        <w:ind w:firstLine="420" w:firstLineChars="200"/>
        <w:jc w:val="left"/>
        <w:textAlignment w:val="auto"/>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6）双方在本合同履行过程中，可以签定补充或修正文件，补充或修正文件与本合同具有同等法律效力，内容不一致的，以时间在后的文件为准。</w:t>
      </w:r>
      <w:r>
        <w:rPr>
          <w:rFonts w:ascii="宋体" w:hAnsi="宋体" w:cs="宋体"/>
          <w:color w:val="auto"/>
          <w:szCs w:val="21"/>
          <w:highlight w:val="none"/>
        </w:rPr>
        <w:t xml:space="preserve"> </w:t>
      </w:r>
    </w:p>
    <w:p w14:paraId="691B8407">
      <w:pPr>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27）如因乙方违约、甲方提起仲裁或诉讼的，由此所产生的律师费用、仲裁（或诉讼）费用及调查取证费用均由乙方承担。</w:t>
      </w:r>
    </w:p>
    <w:p w14:paraId="4DDEE0F4">
      <w:pPr>
        <w:pStyle w:val="10"/>
        <w:ind w:left="0" w:leftChars="0"/>
        <w:rPr>
          <w:rFonts w:hint="eastAsia" w:ascii="宋体" w:hAnsi="宋体" w:eastAsia="宋体" w:cs="宋体"/>
          <w:color w:val="auto"/>
          <w:highlight w:val="none"/>
        </w:rPr>
      </w:pPr>
    </w:p>
    <w:p w14:paraId="735E4618">
      <w:pPr>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扬州市工程建设项目监理廉政合同</w:t>
      </w:r>
    </w:p>
    <w:p w14:paraId="4425B04F">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工程项目名称： </w:t>
      </w:r>
    </w:p>
    <w:p w14:paraId="317D4CE3">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工程项目地址：</w:t>
      </w:r>
    </w:p>
    <w:p w14:paraId="4581A310">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建设单位（甲方）： </w:t>
      </w:r>
    </w:p>
    <w:p w14:paraId="14B7316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监理单位（乙方）： </w:t>
      </w:r>
    </w:p>
    <w:p w14:paraId="7F1AD765">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合同。 </w:t>
      </w:r>
    </w:p>
    <w:p w14:paraId="70EAF30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第一条 甲乙双方的责任 </w:t>
      </w:r>
    </w:p>
    <w:p w14:paraId="5AB069E3">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（一）甲、乙双方应加强对本方人员的廉政监督，健立和健全廉政制度。</w:t>
      </w:r>
    </w:p>
    <w:p w14:paraId="678CA888">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（二）甲、乙双方有对本方人员开展廉政告知、廉政教育和职业道德教育的义务。 </w:t>
      </w:r>
    </w:p>
    <w:p w14:paraId="75B0497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（三）甲、乙双方应严格遵守国家关于市场准入、项目招标投标、工程建设、工程监理和市场活动等有关法律、法规，相关政策，以及廉政建设的各项规定。 </w:t>
      </w:r>
    </w:p>
    <w:p w14:paraId="432777C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（四）甲、乙双方严格执行建设工程项目承发包合同文件，自觉按合同办事。 </w:t>
      </w:r>
    </w:p>
    <w:p w14:paraId="0DC3457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（五）甲、乙双方业务活动必须坚持公开、公平、公正、诚信、透明的原则（除法律法规另有规定者外），不得为获取不正当的利益，损害国家、集体和利益，不得违反工程建设管理、工程监理的规章制度。 </w:t>
      </w:r>
    </w:p>
    <w:p w14:paraId="5CA0204F">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（六）甲、乙双方发现对方在业务活动中违规、违纪、违法行为的，应及时提醒对方，情节严重的，应向其上级主管部门或纪检监察、司法等有关机关举报。 </w:t>
      </w:r>
    </w:p>
    <w:p w14:paraId="05970BDF">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第二条 甲方在廉政建设方面的责任 </w:t>
      </w:r>
    </w:p>
    <w:p w14:paraId="547639D5">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（一）不准向乙方和相关单位索要或接受回扣、礼金、有价证券、贵重物品和好处费、感谢费等。 </w:t>
      </w:r>
    </w:p>
    <w:p w14:paraId="34F63EB0">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（二）不准向乙方和相关单位报销任何应由甲方或个人支付的费用。 </w:t>
      </w:r>
    </w:p>
    <w:p w14:paraId="7F3F4B7B">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（三）不准要求、暗示和接受乙方和相关单位为个人装修住房、婚丧嫁娶、配偶子女的工作安排以及出国（境）、旅游等提供方便。 </w:t>
      </w:r>
    </w:p>
    <w:p w14:paraId="782B636E">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（四）不准发出或参加有可能影响公正执行公务的乙方和相关单位的宴请和健身、娱乐等活动。 </w:t>
      </w:r>
    </w:p>
    <w:p w14:paraId="2F99F21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（五）服从市场管理，并遵从有关规定，不提不合理的要求和条件； </w:t>
      </w:r>
    </w:p>
    <w:p w14:paraId="6E6ABBDF">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（六）不准预定框框、照顾关系，造成不公平竞争；</w:t>
      </w:r>
    </w:p>
    <w:p w14:paraId="2604913D">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（七）不准向评委施加任何倾向性影响； </w:t>
      </w:r>
    </w:p>
    <w:p w14:paraId="439490FF">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八）不准向乙方介绍配偶、子女、亲属参与同甲方项目工程施工合同有关的设备供应、材料供应、工程分包、劳务合作等经济活动。不得以任何理由向乙方和相关单位推荐分包单位和要求乙方购买项目工程施工合同规定以外的材料、设备等。 </w:t>
      </w:r>
    </w:p>
    <w:p w14:paraId="4BFFC135">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第三条 乙方廉政建设方面的责任 </w:t>
      </w:r>
    </w:p>
    <w:p w14:paraId="21359A0B">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（一）不准以任何理由向甲方、相关单位及其工作人员赠送礼金、有价证券、贵重物品等。 </w:t>
      </w:r>
    </w:p>
    <w:p w14:paraId="44E48E9B">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（二）不准以任何理由为甲方和相关单位报销应由对方或个人支付的费用。 </w:t>
      </w:r>
    </w:p>
    <w:p w14:paraId="11360C18">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（三）不准接受或暗示为甲方、相关单位或个人装修住房、婚丧嫁娶、配偶子女的工作安排以及出国（境）、旅游等提供方便。 </w:t>
      </w:r>
    </w:p>
    <w:p w14:paraId="0B3756CB">
      <w:pPr>
        <w:adjustRightInd w:val="0"/>
        <w:snapToGrid w:val="0"/>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（四）不准违反合同规定而使用甲方、相关单位提供的通信、交通工具和高档办公用品。</w:t>
      </w:r>
    </w:p>
    <w:p w14:paraId="4CA8928D">
      <w:pPr>
        <w:adjustRightInd w:val="0"/>
        <w:snapToGrid w:val="0"/>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（五）不准以任何理由为甲方、相关单位或个人组织有可能影响公正执行公务的宴请、健身、娱乐等活动。</w:t>
      </w:r>
    </w:p>
    <w:p w14:paraId="18C2493A">
      <w:pPr>
        <w:adjustRightInd w:val="0"/>
        <w:snapToGrid w:val="0"/>
        <w:spacing w:line="360" w:lineRule="auto"/>
        <w:ind w:left="735" w:leftChars="15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（六）不准通过关系对甲方、相关单位或个人施加影响。</w:t>
      </w:r>
    </w:p>
    <w:p w14:paraId="47454AA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第四条 违约责任 </w:t>
      </w:r>
    </w:p>
    <w:p w14:paraId="723D62FD">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一）甲方若有违反本合同的，视情节轻重，每次给予1至10万元的违约罚款；若严重违反本合同，按照管理权限，依据有关法律法规和规定，给予党纪、政纪处分或组织处理；涉嫌犯罪的，移交司法机关追究刑事责任；给乙方单位造成经济损失的，应予以赔偿。 </w:t>
      </w:r>
    </w:p>
    <w:p w14:paraId="0F8EB75B">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二）乙方若有违反本合同的，视情节轻重。每次给予工程款的1％至10％的违约罚款；若严重违反本责任书，在1- 3年内不得进入扬州市工程建设市场；涉嫌犯罪的，移交司法机关追究刑事责任；给甲方单位造成经济损失的，应予以赔偿。 </w:t>
      </w:r>
    </w:p>
    <w:p w14:paraId="45A76653">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第五条 本合同作为工程监理合同的附件，与工程监理合同具有同等法律效力。经双方签署后立即生效。</w:t>
      </w:r>
    </w:p>
    <w:p w14:paraId="4BD75DC8">
      <w:pPr>
        <w:spacing w:line="400" w:lineRule="exact"/>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第六条 本合同的有效期为双方签署之日起至该工程项目竣工验收合格时止。 </w:t>
      </w:r>
    </w:p>
    <w:p w14:paraId="4554982D">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第七条 本合同一式</w:t>
      </w:r>
      <w:r>
        <w:rPr>
          <w:rFonts w:hint="eastAsia" w:ascii="宋体" w:hAnsi="宋体" w:cs="宋体"/>
          <w:color w:val="auto"/>
          <w:szCs w:val="21"/>
          <w:highlight w:val="none"/>
          <w:lang w:val="en-US" w:eastAsia="zh-CN"/>
        </w:rPr>
        <w:t>肆</w:t>
      </w:r>
      <w:r>
        <w:rPr>
          <w:rFonts w:hint="eastAsia" w:ascii="宋体" w:hAnsi="宋体" w:eastAsia="宋体" w:cs="宋体"/>
          <w:color w:val="auto"/>
          <w:szCs w:val="21"/>
          <w:highlight w:val="none"/>
        </w:rPr>
        <w:t>份，甲方</w:t>
      </w:r>
      <w:r>
        <w:rPr>
          <w:rFonts w:hint="eastAsia" w:ascii="宋体" w:hAnsi="宋体" w:cs="宋体"/>
          <w:color w:val="auto"/>
          <w:szCs w:val="21"/>
          <w:highlight w:val="none"/>
          <w:lang w:val="en-US" w:eastAsia="zh-CN"/>
        </w:rPr>
        <w:t>贰</w:t>
      </w:r>
      <w:r>
        <w:rPr>
          <w:rFonts w:hint="eastAsia" w:ascii="宋体" w:hAnsi="宋体" w:eastAsia="宋体" w:cs="宋体"/>
          <w:color w:val="auto"/>
          <w:szCs w:val="21"/>
          <w:highlight w:val="none"/>
        </w:rPr>
        <w:t>份，乙方贰份，自甲乙双方签字盖章后生效。</w:t>
      </w:r>
    </w:p>
    <w:p w14:paraId="7C78B84E">
      <w:pPr>
        <w:ind w:firstLine="420" w:firstLineChars="200"/>
        <w:rPr>
          <w:rFonts w:hint="eastAsia" w:ascii="宋体" w:hAnsi="宋体" w:eastAsia="宋体" w:cs="宋体"/>
          <w:color w:val="auto"/>
          <w:szCs w:val="21"/>
          <w:highlight w:val="none"/>
        </w:rPr>
      </w:pPr>
    </w:p>
    <w:p w14:paraId="3C8B2EFC">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甲方单位：（盖章）             乙方单位：（盖章） </w:t>
      </w:r>
    </w:p>
    <w:p w14:paraId="6A91E124">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                   法定代表人： </w:t>
      </w:r>
    </w:p>
    <w:p w14:paraId="1B9E780F">
      <w:pPr>
        <w:spacing w:line="400" w:lineRule="exact"/>
        <w:ind w:firstLine="388" w:firstLineChars="200"/>
        <w:rPr>
          <w:rFonts w:hint="eastAsia" w:ascii="宋体" w:hAnsi="宋体" w:eastAsia="宋体" w:cs="宋体"/>
          <w:color w:val="auto"/>
          <w:spacing w:val="-8"/>
          <w:szCs w:val="21"/>
          <w:highlight w:val="none"/>
        </w:rPr>
      </w:pPr>
      <w:r>
        <w:rPr>
          <w:rFonts w:hint="eastAsia" w:ascii="宋体" w:hAnsi="宋体" w:eastAsia="宋体" w:cs="宋体"/>
          <w:color w:val="auto"/>
          <w:spacing w:val="-8"/>
          <w:szCs w:val="21"/>
          <w:highlight w:val="none"/>
        </w:rPr>
        <w:t>地 址：                              地 址：</w:t>
      </w:r>
    </w:p>
    <w:p w14:paraId="2161C0C4">
      <w:pPr>
        <w:spacing w:line="400" w:lineRule="exact"/>
        <w:ind w:firstLine="388" w:firstLineChars="200"/>
        <w:rPr>
          <w:rFonts w:hint="eastAsia" w:ascii="宋体" w:hAnsi="宋体" w:eastAsia="宋体" w:cs="宋体"/>
          <w:color w:val="auto"/>
          <w:spacing w:val="-8"/>
          <w:szCs w:val="21"/>
          <w:highlight w:val="none"/>
        </w:rPr>
      </w:pPr>
      <w:r>
        <w:rPr>
          <w:rFonts w:hint="eastAsia" w:ascii="宋体" w:hAnsi="宋体" w:eastAsia="宋体" w:cs="宋体"/>
          <w:color w:val="auto"/>
          <w:spacing w:val="-8"/>
          <w:szCs w:val="21"/>
          <w:highlight w:val="none"/>
        </w:rPr>
        <w:t xml:space="preserve"> 电 话：                             电 话：  </w:t>
      </w:r>
    </w:p>
    <w:p w14:paraId="042ED996">
      <w:pPr>
        <w:tabs>
          <w:tab w:val="right" w:pos="8486"/>
        </w:tabs>
        <w:spacing w:line="480" w:lineRule="exact"/>
        <w:jc w:val="center"/>
        <w:rPr>
          <w:rFonts w:hint="eastAsia" w:ascii="宋体" w:hAnsi="宋体" w:eastAsia="宋体" w:cs="宋体"/>
          <w:b/>
          <w:bCs/>
          <w:color w:val="auto"/>
          <w:spacing w:val="-8"/>
          <w:sz w:val="48"/>
          <w:highlight w:val="none"/>
        </w:rPr>
      </w:pPr>
    </w:p>
    <w:p w14:paraId="44267A36">
      <w:pPr>
        <w:pStyle w:val="2"/>
        <w:ind w:firstLine="420"/>
        <w:rPr>
          <w:rFonts w:hint="eastAsia" w:ascii="宋体" w:hAnsi="宋体" w:eastAsia="宋体" w:cs="宋体"/>
          <w:color w:val="auto"/>
          <w:highlight w:val="none"/>
        </w:rPr>
      </w:pPr>
    </w:p>
    <w:p w14:paraId="1C847354">
      <w:pPr>
        <w:pStyle w:val="4"/>
        <w:ind w:left="479" w:leftChars="228" w:firstLine="4800" w:firstLineChars="2000"/>
        <w:rPr>
          <w:rFonts w:hint="eastAsia" w:ascii="宋体" w:hAnsi="宋体" w:eastAsia="宋体" w:cs="宋体"/>
          <w:color w:val="auto"/>
          <w:highlight w:val="none"/>
        </w:rPr>
      </w:pPr>
      <w:r>
        <w:rPr>
          <w:rFonts w:hint="eastAsia" w:ascii="宋体" w:hAnsi="宋体" w:eastAsia="宋体" w:cs="宋体"/>
          <w:color w:val="auto"/>
          <w:highlight w:val="none"/>
        </w:rPr>
        <w:t xml:space="preserve">   年   月    日</w:t>
      </w:r>
    </w:p>
    <w:p w14:paraId="1D6ED8C5">
      <w:pPr>
        <w:pStyle w:val="23"/>
        <w:ind w:left="420"/>
        <w:rPr>
          <w:rStyle w:val="80"/>
          <w:rFonts w:hint="eastAsia" w:ascii="宋体" w:hAnsi="宋体" w:eastAsia="宋体" w:cs="宋体"/>
          <w:bCs w:val="0"/>
          <w:color w:val="auto"/>
          <w:highlight w:val="none"/>
        </w:rPr>
      </w:pPr>
    </w:p>
    <w:p w14:paraId="3CE0422B">
      <w:pPr>
        <w:adjustRightInd w:val="0"/>
        <w:snapToGrid w:val="0"/>
        <w:spacing w:beforeLines="50" w:afterLines="50" w:line="360" w:lineRule="auto"/>
        <w:jc w:val="center"/>
        <w:rPr>
          <w:rStyle w:val="78"/>
          <w:rFonts w:hint="eastAsia" w:ascii="宋体" w:hAnsi="宋体" w:eastAsia="宋体" w:cs="宋体"/>
          <w:bCs w:val="0"/>
          <w:color w:val="auto"/>
          <w:highlight w:val="none"/>
        </w:rPr>
      </w:pPr>
    </w:p>
    <w:p w14:paraId="519A31E2">
      <w:pPr>
        <w:adjustRightInd w:val="0"/>
        <w:snapToGrid w:val="0"/>
        <w:spacing w:beforeLines="50" w:afterLines="50" w:line="360" w:lineRule="auto"/>
        <w:jc w:val="center"/>
        <w:rPr>
          <w:rStyle w:val="78"/>
          <w:rFonts w:hint="eastAsia" w:ascii="宋体" w:hAnsi="宋体" w:eastAsia="宋体" w:cs="宋体"/>
          <w:bCs w:val="0"/>
          <w:color w:val="auto"/>
          <w:highlight w:val="none"/>
        </w:rPr>
      </w:pPr>
    </w:p>
    <w:p w14:paraId="639BD1AD">
      <w:pPr>
        <w:adjustRightInd w:val="0"/>
        <w:snapToGrid w:val="0"/>
        <w:spacing w:beforeLines="50" w:afterLines="50" w:line="360" w:lineRule="auto"/>
        <w:jc w:val="center"/>
        <w:rPr>
          <w:rStyle w:val="78"/>
          <w:rFonts w:hint="eastAsia" w:ascii="宋体" w:hAnsi="宋体" w:eastAsia="宋体" w:cs="宋体"/>
          <w:bCs w:val="0"/>
          <w:color w:val="auto"/>
          <w:highlight w:val="none"/>
        </w:rPr>
      </w:pPr>
    </w:p>
    <w:p w14:paraId="70B4FB57">
      <w:pPr>
        <w:adjustRightInd w:val="0"/>
        <w:snapToGrid w:val="0"/>
        <w:spacing w:beforeLines="50" w:afterLines="50" w:line="360" w:lineRule="auto"/>
        <w:jc w:val="center"/>
        <w:rPr>
          <w:rStyle w:val="78"/>
          <w:rFonts w:hint="eastAsia" w:ascii="宋体" w:hAnsi="宋体" w:eastAsia="宋体" w:cs="宋体"/>
          <w:bCs w:val="0"/>
          <w:color w:val="auto"/>
          <w:highlight w:val="none"/>
        </w:rPr>
      </w:pPr>
    </w:p>
    <w:p w14:paraId="24D583FD">
      <w:pPr>
        <w:adjustRightInd w:val="0"/>
        <w:snapToGrid w:val="0"/>
        <w:spacing w:beforeLines="50" w:afterLines="50" w:line="360" w:lineRule="auto"/>
        <w:jc w:val="center"/>
        <w:rPr>
          <w:rStyle w:val="78"/>
          <w:rFonts w:hint="eastAsia" w:ascii="宋体" w:hAnsi="宋体" w:eastAsia="宋体" w:cs="宋体"/>
          <w:bCs w:val="0"/>
          <w:color w:val="auto"/>
          <w:highlight w:val="none"/>
        </w:rPr>
      </w:pPr>
    </w:p>
    <w:p w14:paraId="3EAE8E07">
      <w:pPr>
        <w:adjustRightInd w:val="0"/>
        <w:snapToGrid w:val="0"/>
        <w:spacing w:beforeLines="50" w:afterLines="50" w:line="360" w:lineRule="auto"/>
        <w:jc w:val="center"/>
        <w:rPr>
          <w:rStyle w:val="78"/>
          <w:rFonts w:hint="eastAsia" w:ascii="宋体" w:hAnsi="宋体" w:eastAsia="宋体" w:cs="宋体"/>
          <w:bCs w:val="0"/>
          <w:color w:val="auto"/>
          <w:highlight w:val="none"/>
        </w:rPr>
      </w:pPr>
    </w:p>
    <w:p w14:paraId="4AFC0AC9">
      <w:pPr>
        <w:adjustRightInd w:val="0"/>
        <w:snapToGrid w:val="0"/>
        <w:spacing w:beforeLines="50" w:afterLines="50" w:line="360" w:lineRule="auto"/>
        <w:jc w:val="center"/>
        <w:rPr>
          <w:rFonts w:hint="eastAsia" w:ascii="宋体" w:hAnsi="宋体" w:eastAsia="宋体" w:cs="宋体"/>
          <w:bCs/>
          <w:color w:val="auto"/>
          <w:highlight w:val="none"/>
        </w:rPr>
      </w:pPr>
      <w:r>
        <w:rPr>
          <w:rStyle w:val="78"/>
          <w:rFonts w:hint="eastAsia" w:ascii="宋体" w:hAnsi="宋体" w:eastAsia="宋体" w:cs="宋体"/>
          <w:bCs w:val="0"/>
          <w:color w:val="auto"/>
          <w:highlight w:val="none"/>
        </w:rPr>
        <w:t>附录A  相关服务的范围和内容</w:t>
      </w:r>
    </w:p>
    <w:p w14:paraId="01661CC1">
      <w:pPr>
        <w:snapToGrid w:val="0"/>
        <w:spacing w:beforeLines="50" w:afterLines="50"/>
        <w:ind w:firstLine="840" w:firstLineChars="4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A-1 勘察阶段：</w:t>
      </w:r>
      <w:r>
        <w:rPr>
          <w:rFonts w:hint="eastAsia" w:ascii="宋体" w:hAnsi="宋体" w:eastAsia="宋体" w:cs="宋体"/>
          <w:color w:val="auto"/>
          <w:szCs w:val="21"/>
          <w:highlight w:val="none"/>
          <w:u w:val="single"/>
        </w:rPr>
        <w:t xml:space="preserve">                                        </w:t>
      </w:r>
    </w:p>
    <w:p w14:paraId="7E6E5D87">
      <w:pPr>
        <w:snapToGrid w:val="0"/>
        <w:spacing w:beforeLines="50" w:afterLines="50"/>
        <w:ind w:firstLine="840" w:firstLineChars="400"/>
        <w:rPr>
          <w:rFonts w:hint="eastAsia" w:ascii="宋体" w:hAnsi="宋体" w:eastAsia="宋体" w:cs="宋体"/>
          <w:color w:val="auto"/>
          <w:kern w:val="0"/>
          <w:szCs w:val="21"/>
          <w:highlight w:val="none"/>
        </w:rPr>
      </w:pPr>
    </w:p>
    <w:p w14:paraId="68926268">
      <w:pPr>
        <w:snapToGrid w:val="0"/>
        <w:spacing w:beforeLines="50" w:afterLines="50"/>
        <w:ind w:firstLine="840" w:firstLineChars="4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A-2 设计阶段：</w:t>
      </w:r>
      <w:r>
        <w:rPr>
          <w:rFonts w:hint="eastAsia" w:ascii="宋体" w:hAnsi="宋体" w:eastAsia="宋体" w:cs="宋体"/>
          <w:color w:val="auto"/>
          <w:szCs w:val="21"/>
          <w:highlight w:val="none"/>
          <w:u w:val="single"/>
        </w:rPr>
        <w:t xml:space="preserve">                                        </w:t>
      </w:r>
    </w:p>
    <w:p w14:paraId="2770F345">
      <w:pPr>
        <w:snapToGrid w:val="0"/>
        <w:spacing w:beforeLines="50" w:afterLines="50"/>
        <w:ind w:firstLine="840" w:firstLineChars="400"/>
        <w:rPr>
          <w:rFonts w:hint="eastAsia" w:ascii="宋体" w:hAnsi="宋体" w:eastAsia="宋体" w:cs="宋体"/>
          <w:color w:val="auto"/>
          <w:szCs w:val="21"/>
          <w:highlight w:val="none"/>
        </w:rPr>
      </w:pPr>
    </w:p>
    <w:p w14:paraId="35F216F0">
      <w:pPr>
        <w:snapToGrid w:val="0"/>
        <w:spacing w:beforeLines="50" w:afterLines="50"/>
        <w:ind w:firstLine="840" w:firstLineChars="4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A-3 保修阶段：</w:t>
      </w:r>
      <w:r>
        <w:rPr>
          <w:rFonts w:hint="eastAsia" w:ascii="宋体" w:hAnsi="宋体" w:eastAsia="宋体" w:cs="宋体"/>
          <w:color w:val="auto"/>
          <w:szCs w:val="21"/>
          <w:highlight w:val="none"/>
          <w:u w:val="single"/>
        </w:rPr>
        <w:t xml:space="preserve">   保修阶段的监管及维修费用审核          </w:t>
      </w:r>
    </w:p>
    <w:p w14:paraId="3858D206">
      <w:pPr>
        <w:snapToGrid w:val="0"/>
        <w:spacing w:beforeLines="50" w:afterLines="50"/>
        <w:ind w:firstLine="840" w:firstLineChars="400"/>
        <w:rPr>
          <w:rFonts w:hint="eastAsia" w:ascii="宋体" w:hAnsi="宋体" w:eastAsia="宋体" w:cs="宋体"/>
          <w:color w:val="auto"/>
          <w:szCs w:val="21"/>
          <w:highlight w:val="none"/>
        </w:rPr>
      </w:pPr>
    </w:p>
    <w:p w14:paraId="53162504">
      <w:pPr>
        <w:snapToGrid w:val="0"/>
        <w:spacing w:beforeLines="50" w:afterLines="50"/>
        <w:ind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 xml:space="preserve">A-4 </w:t>
      </w:r>
      <w:r>
        <w:rPr>
          <w:rFonts w:hint="eastAsia" w:ascii="宋体" w:hAnsi="宋体" w:eastAsia="宋体" w:cs="宋体"/>
          <w:color w:val="auto"/>
          <w:szCs w:val="21"/>
          <w:highlight w:val="none"/>
        </w:rPr>
        <w:t>其他（专业技术咨询、外部协调工作等）：</w:t>
      </w:r>
      <w:r>
        <w:rPr>
          <w:rFonts w:hint="eastAsia" w:ascii="宋体" w:hAnsi="宋体" w:eastAsia="宋体" w:cs="宋体"/>
          <w:color w:val="auto"/>
          <w:szCs w:val="21"/>
          <w:highlight w:val="none"/>
          <w:u w:val="single"/>
        </w:rPr>
        <w:t xml:space="preserve">          </w:t>
      </w:r>
    </w:p>
    <w:p w14:paraId="0462DD55">
      <w:pPr>
        <w:tabs>
          <w:tab w:val="right" w:pos="8486"/>
        </w:tabs>
        <w:spacing w:line="480" w:lineRule="exact"/>
        <w:jc w:val="center"/>
        <w:rPr>
          <w:rFonts w:hint="eastAsia" w:ascii="宋体" w:hAnsi="宋体" w:eastAsia="宋体" w:cs="宋体"/>
          <w:b/>
          <w:bCs/>
          <w:color w:val="auto"/>
          <w:spacing w:val="-8"/>
          <w:sz w:val="48"/>
          <w:highlight w:val="none"/>
        </w:rPr>
      </w:pPr>
    </w:p>
    <w:p w14:paraId="17B2115F">
      <w:pPr>
        <w:tabs>
          <w:tab w:val="right" w:pos="8486"/>
        </w:tabs>
        <w:spacing w:line="480" w:lineRule="exact"/>
        <w:jc w:val="center"/>
        <w:rPr>
          <w:rFonts w:hint="eastAsia" w:ascii="宋体" w:hAnsi="宋体" w:eastAsia="宋体" w:cs="宋体"/>
          <w:b/>
          <w:bCs/>
          <w:color w:val="auto"/>
          <w:spacing w:val="-8"/>
          <w:sz w:val="48"/>
          <w:highlight w:val="none"/>
        </w:rPr>
      </w:pPr>
    </w:p>
    <w:p w14:paraId="3A48AAC5">
      <w:pPr>
        <w:tabs>
          <w:tab w:val="right" w:pos="8486"/>
        </w:tabs>
        <w:spacing w:line="480" w:lineRule="exact"/>
        <w:jc w:val="center"/>
        <w:rPr>
          <w:rFonts w:hint="eastAsia" w:ascii="宋体" w:hAnsi="宋体" w:eastAsia="宋体" w:cs="宋体"/>
          <w:b/>
          <w:bCs/>
          <w:color w:val="auto"/>
          <w:spacing w:val="-8"/>
          <w:sz w:val="48"/>
          <w:highlight w:val="none"/>
        </w:rPr>
      </w:pPr>
    </w:p>
    <w:p w14:paraId="78039B75">
      <w:pPr>
        <w:tabs>
          <w:tab w:val="right" w:pos="8486"/>
        </w:tabs>
        <w:spacing w:line="480" w:lineRule="exact"/>
        <w:jc w:val="center"/>
        <w:rPr>
          <w:rFonts w:hint="eastAsia" w:ascii="宋体" w:hAnsi="宋体" w:eastAsia="宋体" w:cs="宋体"/>
          <w:b/>
          <w:bCs/>
          <w:color w:val="auto"/>
          <w:spacing w:val="-8"/>
          <w:sz w:val="48"/>
          <w:highlight w:val="none"/>
        </w:rPr>
      </w:pPr>
    </w:p>
    <w:p w14:paraId="7F9281F9">
      <w:pPr>
        <w:tabs>
          <w:tab w:val="right" w:pos="8486"/>
        </w:tabs>
        <w:spacing w:line="480" w:lineRule="exact"/>
        <w:jc w:val="center"/>
        <w:rPr>
          <w:rFonts w:hint="eastAsia" w:ascii="宋体" w:hAnsi="宋体" w:eastAsia="宋体" w:cs="宋体"/>
          <w:b/>
          <w:bCs/>
          <w:color w:val="auto"/>
          <w:spacing w:val="-8"/>
          <w:sz w:val="48"/>
          <w:highlight w:val="none"/>
        </w:rPr>
      </w:pPr>
    </w:p>
    <w:p w14:paraId="5522999B">
      <w:pPr>
        <w:tabs>
          <w:tab w:val="right" w:pos="8486"/>
        </w:tabs>
        <w:spacing w:line="480" w:lineRule="exact"/>
        <w:jc w:val="center"/>
        <w:rPr>
          <w:rFonts w:hint="eastAsia" w:ascii="宋体" w:hAnsi="宋体" w:eastAsia="宋体" w:cs="宋体"/>
          <w:b/>
          <w:bCs/>
          <w:color w:val="auto"/>
          <w:spacing w:val="-8"/>
          <w:sz w:val="48"/>
          <w:highlight w:val="none"/>
        </w:rPr>
      </w:pPr>
    </w:p>
    <w:p w14:paraId="5E96E11B">
      <w:pPr>
        <w:tabs>
          <w:tab w:val="right" w:pos="8486"/>
        </w:tabs>
        <w:spacing w:line="480" w:lineRule="exact"/>
        <w:jc w:val="center"/>
        <w:rPr>
          <w:rFonts w:hint="eastAsia" w:ascii="宋体" w:hAnsi="宋体" w:eastAsia="宋体" w:cs="宋体"/>
          <w:b/>
          <w:bCs/>
          <w:color w:val="auto"/>
          <w:spacing w:val="-8"/>
          <w:sz w:val="48"/>
          <w:highlight w:val="none"/>
        </w:rPr>
      </w:pPr>
    </w:p>
    <w:p w14:paraId="722ACB1B">
      <w:pPr>
        <w:tabs>
          <w:tab w:val="right" w:pos="8486"/>
        </w:tabs>
        <w:spacing w:line="480" w:lineRule="exact"/>
        <w:jc w:val="center"/>
        <w:rPr>
          <w:rFonts w:hint="eastAsia" w:ascii="宋体" w:hAnsi="宋体" w:eastAsia="宋体" w:cs="宋体"/>
          <w:b/>
          <w:bCs/>
          <w:color w:val="auto"/>
          <w:spacing w:val="-8"/>
          <w:sz w:val="48"/>
          <w:highlight w:val="none"/>
        </w:rPr>
      </w:pPr>
    </w:p>
    <w:p w14:paraId="58B4B7E4">
      <w:pPr>
        <w:tabs>
          <w:tab w:val="right" w:pos="8486"/>
        </w:tabs>
        <w:spacing w:line="480" w:lineRule="exact"/>
        <w:jc w:val="center"/>
        <w:rPr>
          <w:rFonts w:hint="eastAsia" w:ascii="宋体" w:hAnsi="宋体" w:eastAsia="宋体" w:cs="宋体"/>
          <w:b/>
          <w:bCs/>
          <w:color w:val="auto"/>
          <w:spacing w:val="-8"/>
          <w:sz w:val="48"/>
          <w:highlight w:val="none"/>
        </w:rPr>
      </w:pPr>
    </w:p>
    <w:p w14:paraId="65EAEADD">
      <w:pPr>
        <w:tabs>
          <w:tab w:val="right" w:pos="8486"/>
        </w:tabs>
        <w:spacing w:line="480" w:lineRule="exact"/>
        <w:jc w:val="center"/>
        <w:rPr>
          <w:rFonts w:hint="eastAsia" w:ascii="宋体" w:hAnsi="宋体" w:eastAsia="宋体" w:cs="宋体"/>
          <w:b/>
          <w:bCs/>
          <w:color w:val="auto"/>
          <w:spacing w:val="-8"/>
          <w:sz w:val="48"/>
          <w:highlight w:val="none"/>
        </w:rPr>
      </w:pPr>
    </w:p>
    <w:p w14:paraId="546345A2">
      <w:pPr>
        <w:pStyle w:val="16"/>
        <w:rPr>
          <w:rFonts w:hint="eastAsia" w:ascii="宋体" w:hAnsi="宋体" w:eastAsia="宋体" w:cs="宋体"/>
          <w:color w:val="auto"/>
          <w:highlight w:val="none"/>
        </w:rPr>
      </w:pPr>
    </w:p>
    <w:p w14:paraId="4D21082C">
      <w:pPr>
        <w:pStyle w:val="16"/>
        <w:rPr>
          <w:rFonts w:hint="eastAsia" w:ascii="宋体" w:hAnsi="宋体" w:eastAsia="宋体" w:cs="宋体"/>
          <w:color w:val="auto"/>
          <w:highlight w:val="none"/>
        </w:rPr>
      </w:pPr>
    </w:p>
    <w:p w14:paraId="0117168C">
      <w:pPr>
        <w:pStyle w:val="16"/>
        <w:rPr>
          <w:rFonts w:hint="eastAsia" w:ascii="宋体" w:hAnsi="宋体" w:eastAsia="宋体" w:cs="宋体"/>
          <w:color w:val="auto"/>
          <w:highlight w:val="none"/>
        </w:rPr>
      </w:pPr>
    </w:p>
    <w:p w14:paraId="454CD939">
      <w:pPr>
        <w:pStyle w:val="16"/>
        <w:rPr>
          <w:rFonts w:hint="eastAsia" w:ascii="宋体" w:hAnsi="宋体" w:eastAsia="宋体" w:cs="宋体"/>
          <w:color w:val="auto"/>
          <w:highlight w:val="none"/>
        </w:rPr>
      </w:pPr>
    </w:p>
    <w:p w14:paraId="5A9532BA">
      <w:pPr>
        <w:pStyle w:val="16"/>
        <w:rPr>
          <w:rFonts w:hint="eastAsia" w:ascii="宋体" w:hAnsi="宋体" w:eastAsia="宋体" w:cs="宋体"/>
          <w:color w:val="auto"/>
          <w:highlight w:val="none"/>
        </w:rPr>
      </w:pPr>
    </w:p>
    <w:p w14:paraId="0BFD48AD">
      <w:pPr>
        <w:pStyle w:val="16"/>
        <w:rPr>
          <w:rFonts w:hint="eastAsia" w:ascii="宋体" w:hAnsi="宋体" w:eastAsia="宋体" w:cs="宋体"/>
          <w:color w:val="auto"/>
          <w:highlight w:val="none"/>
        </w:rPr>
      </w:pPr>
    </w:p>
    <w:p w14:paraId="36DB83AA">
      <w:pPr>
        <w:pStyle w:val="12"/>
        <w:spacing w:line="360" w:lineRule="auto"/>
        <w:jc w:val="center"/>
        <w:rPr>
          <w:rFonts w:hint="eastAsia" w:ascii="宋体" w:hAnsi="宋体" w:eastAsia="宋体" w:cs="宋体"/>
          <w:color w:val="auto"/>
          <w:highlight w:val="none"/>
        </w:rPr>
      </w:pPr>
      <w:bookmarkStart w:id="150" w:name="_Toc398107920"/>
      <w:r>
        <w:rPr>
          <w:rStyle w:val="78"/>
          <w:rFonts w:hint="eastAsia" w:ascii="宋体" w:hAnsi="宋体" w:eastAsia="宋体" w:cs="宋体"/>
          <w:b/>
          <w:bCs w:val="0"/>
          <w:color w:val="auto"/>
          <w:highlight w:val="none"/>
        </w:rPr>
        <w:t>附录B  委托人派遣的人员和提供的房屋、资料、设备</w:t>
      </w:r>
      <w:bookmarkEnd w:id="150"/>
    </w:p>
    <w:p w14:paraId="39578155">
      <w:pPr>
        <w:pStyle w:val="14"/>
        <w:spacing w:line="360" w:lineRule="auto"/>
        <w:rPr>
          <w:rFonts w:hint="eastAsia" w:ascii="宋体" w:hAnsi="宋体" w:eastAsia="宋体" w:cs="宋体"/>
          <w:color w:val="auto"/>
          <w:highlight w:val="none"/>
        </w:rPr>
      </w:pPr>
      <w:bookmarkStart w:id="151" w:name="_Toc398107921"/>
      <w:r>
        <w:rPr>
          <w:rFonts w:hint="eastAsia" w:ascii="宋体" w:hAnsi="宋体" w:eastAsia="宋体" w:cs="宋体"/>
          <w:color w:val="auto"/>
          <w:highlight w:val="none"/>
        </w:rPr>
        <w:t>B-1  委托人派遣的人员</w:t>
      </w:r>
      <w:bookmarkEnd w:id="151"/>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4"/>
        <w:gridCol w:w="1874"/>
        <w:gridCol w:w="2255"/>
        <w:gridCol w:w="1969"/>
      </w:tblGrid>
      <w:tr w14:paraId="61E45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tcPr>
          <w:p w14:paraId="5CDFC04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1770" w:type="dxa"/>
          </w:tcPr>
          <w:p w14:paraId="3654FB1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2130" w:type="dxa"/>
          </w:tcPr>
          <w:p w14:paraId="1AC741E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工作要求</w:t>
            </w:r>
          </w:p>
        </w:tc>
        <w:tc>
          <w:tcPr>
            <w:tcW w:w="1860" w:type="dxa"/>
          </w:tcPr>
          <w:p w14:paraId="4428174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提供时间</w:t>
            </w:r>
          </w:p>
        </w:tc>
      </w:tr>
      <w:tr w14:paraId="111D1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tcPr>
          <w:p w14:paraId="0D9710D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 工程技术人员 </w:t>
            </w:r>
          </w:p>
        </w:tc>
        <w:tc>
          <w:tcPr>
            <w:tcW w:w="1770" w:type="dxa"/>
          </w:tcPr>
          <w:p w14:paraId="025C9C73">
            <w:pPr>
              <w:rPr>
                <w:rFonts w:hint="eastAsia" w:ascii="宋体" w:hAnsi="宋体" w:eastAsia="宋体" w:cs="宋体"/>
                <w:color w:val="auto"/>
                <w:szCs w:val="21"/>
                <w:highlight w:val="none"/>
              </w:rPr>
            </w:pPr>
          </w:p>
        </w:tc>
        <w:tc>
          <w:tcPr>
            <w:tcW w:w="2130" w:type="dxa"/>
          </w:tcPr>
          <w:p w14:paraId="26E6ECE1">
            <w:pPr>
              <w:rPr>
                <w:rFonts w:hint="eastAsia" w:ascii="宋体" w:hAnsi="宋体" w:eastAsia="宋体" w:cs="宋体"/>
                <w:color w:val="auto"/>
                <w:szCs w:val="21"/>
                <w:highlight w:val="none"/>
              </w:rPr>
            </w:pPr>
          </w:p>
        </w:tc>
        <w:tc>
          <w:tcPr>
            <w:tcW w:w="1860" w:type="dxa"/>
          </w:tcPr>
          <w:p w14:paraId="05A80698">
            <w:pPr>
              <w:rPr>
                <w:rFonts w:hint="eastAsia" w:ascii="宋体" w:hAnsi="宋体" w:eastAsia="宋体" w:cs="宋体"/>
                <w:color w:val="auto"/>
                <w:szCs w:val="21"/>
                <w:highlight w:val="none"/>
              </w:rPr>
            </w:pPr>
          </w:p>
        </w:tc>
      </w:tr>
      <w:tr w14:paraId="06ECE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tcPr>
          <w:p w14:paraId="7EB1F86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辅助工作人员</w:t>
            </w:r>
          </w:p>
        </w:tc>
        <w:tc>
          <w:tcPr>
            <w:tcW w:w="1770" w:type="dxa"/>
          </w:tcPr>
          <w:p w14:paraId="26809EB4">
            <w:pPr>
              <w:rPr>
                <w:rFonts w:hint="eastAsia" w:ascii="宋体" w:hAnsi="宋体" w:eastAsia="宋体" w:cs="宋体"/>
                <w:color w:val="auto"/>
                <w:szCs w:val="21"/>
                <w:highlight w:val="none"/>
              </w:rPr>
            </w:pPr>
          </w:p>
        </w:tc>
        <w:tc>
          <w:tcPr>
            <w:tcW w:w="2130" w:type="dxa"/>
          </w:tcPr>
          <w:p w14:paraId="38723068">
            <w:pPr>
              <w:rPr>
                <w:rFonts w:hint="eastAsia" w:ascii="宋体" w:hAnsi="宋体" w:eastAsia="宋体" w:cs="宋体"/>
                <w:color w:val="auto"/>
                <w:szCs w:val="21"/>
                <w:highlight w:val="none"/>
              </w:rPr>
            </w:pPr>
          </w:p>
        </w:tc>
        <w:tc>
          <w:tcPr>
            <w:tcW w:w="1860" w:type="dxa"/>
          </w:tcPr>
          <w:p w14:paraId="09412911">
            <w:pPr>
              <w:rPr>
                <w:rFonts w:hint="eastAsia" w:ascii="宋体" w:hAnsi="宋体" w:eastAsia="宋体" w:cs="宋体"/>
                <w:color w:val="auto"/>
                <w:szCs w:val="21"/>
                <w:highlight w:val="none"/>
              </w:rPr>
            </w:pPr>
          </w:p>
        </w:tc>
      </w:tr>
      <w:tr w14:paraId="0CE59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tcPr>
          <w:p w14:paraId="5434A0A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 其他人员</w:t>
            </w:r>
          </w:p>
        </w:tc>
        <w:tc>
          <w:tcPr>
            <w:tcW w:w="1770" w:type="dxa"/>
          </w:tcPr>
          <w:p w14:paraId="5E02D9D1">
            <w:pPr>
              <w:rPr>
                <w:rFonts w:hint="eastAsia" w:ascii="宋体" w:hAnsi="宋体" w:eastAsia="宋体" w:cs="宋体"/>
                <w:color w:val="auto"/>
                <w:szCs w:val="21"/>
                <w:highlight w:val="none"/>
              </w:rPr>
            </w:pPr>
          </w:p>
        </w:tc>
        <w:tc>
          <w:tcPr>
            <w:tcW w:w="2130" w:type="dxa"/>
          </w:tcPr>
          <w:p w14:paraId="48BC8652">
            <w:pPr>
              <w:rPr>
                <w:rFonts w:hint="eastAsia" w:ascii="宋体" w:hAnsi="宋体" w:eastAsia="宋体" w:cs="宋体"/>
                <w:color w:val="auto"/>
                <w:szCs w:val="21"/>
                <w:highlight w:val="none"/>
              </w:rPr>
            </w:pPr>
          </w:p>
        </w:tc>
        <w:tc>
          <w:tcPr>
            <w:tcW w:w="1860" w:type="dxa"/>
          </w:tcPr>
          <w:p w14:paraId="0F31C9FE">
            <w:pPr>
              <w:rPr>
                <w:rFonts w:hint="eastAsia" w:ascii="宋体" w:hAnsi="宋体" w:eastAsia="宋体" w:cs="宋体"/>
                <w:color w:val="auto"/>
                <w:szCs w:val="21"/>
                <w:highlight w:val="none"/>
              </w:rPr>
            </w:pPr>
          </w:p>
        </w:tc>
      </w:tr>
      <w:tr w14:paraId="3F542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tcPr>
          <w:p w14:paraId="1FF1293B">
            <w:pPr>
              <w:rPr>
                <w:rFonts w:hint="eastAsia" w:ascii="宋体" w:hAnsi="宋体" w:eastAsia="宋体" w:cs="宋体"/>
                <w:color w:val="auto"/>
                <w:szCs w:val="21"/>
                <w:highlight w:val="none"/>
              </w:rPr>
            </w:pPr>
          </w:p>
        </w:tc>
        <w:tc>
          <w:tcPr>
            <w:tcW w:w="1770" w:type="dxa"/>
          </w:tcPr>
          <w:p w14:paraId="7E3349F6">
            <w:pPr>
              <w:rPr>
                <w:rFonts w:hint="eastAsia" w:ascii="宋体" w:hAnsi="宋体" w:eastAsia="宋体" w:cs="宋体"/>
                <w:color w:val="auto"/>
                <w:szCs w:val="21"/>
                <w:highlight w:val="none"/>
              </w:rPr>
            </w:pPr>
          </w:p>
        </w:tc>
        <w:tc>
          <w:tcPr>
            <w:tcW w:w="2130" w:type="dxa"/>
          </w:tcPr>
          <w:p w14:paraId="1D37FFC2">
            <w:pPr>
              <w:rPr>
                <w:rFonts w:hint="eastAsia" w:ascii="宋体" w:hAnsi="宋体" w:eastAsia="宋体" w:cs="宋体"/>
                <w:color w:val="auto"/>
                <w:szCs w:val="21"/>
                <w:highlight w:val="none"/>
              </w:rPr>
            </w:pPr>
          </w:p>
        </w:tc>
        <w:tc>
          <w:tcPr>
            <w:tcW w:w="1860" w:type="dxa"/>
          </w:tcPr>
          <w:p w14:paraId="0728D599">
            <w:pPr>
              <w:rPr>
                <w:rFonts w:hint="eastAsia" w:ascii="宋体" w:hAnsi="宋体" w:eastAsia="宋体" w:cs="宋体"/>
                <w:color w:val="auto"/>
                <w:szCs w:val="21"/>
                <w:highlight w:val="none"/>
              </w:rPr>
            </w:pPr>
          </w:p>
        </w:tc>
      </w:tr>
    </w:tbl>
    <w:p w14:paraId="7F544EA1">
      <w:pPr>
        <w:pStyle w:val="14"/>
        <w:spacing w:line="360" w:lineRule="auto"/>
        <w:rPr>
          <w:rFonts w:hint="eastAsia" w:ascii="宋体" w:hAnsi="宋体" w:eastAsia="宋体" w:cs="宋体"/>
          <w:color w:val="auto"/>
          <w:highlight w:val="none"/>
        </w:rPr>
      </w:pPr>
      <w:bookmarkStart w:id="152" w:name="_Toc398107922"/>
      <w:r>
        <w:rPr>
          <w:rFonts w:hint="eastAsia" w:ascii="宋体" w:hAnsi="宋体" w:eastAsia="宋体" w:cs="宋体"/>
          <w:color w:val="auto"/>
          <w:highlight w:val="none"/>
        </w:rPr>
        <w:t>B-2  委托人提供的房屋</w:t>
      </w:r>
      <w:bookmarkEnd w:id="152"/>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3"/>
        <w:gridCol w:w="2255"/>
        <w:gridCol w:w="2255"/>
        <w:gridCol w:w="1969"/>
      </w:tblGrid>
      <w:tr w14:paraId="53C52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1ECBE85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2130" w:type="dxa"/>
          </w:tcPr>
          <w:p w14:paraId="45BCA3D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2130" w:type="dxa"/>
          </w:tcPr>
          <w:p w14:paraId="41F48C6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面积</w:t>
            </w:r>
          </w:p>
        </w:tc>
        <w:tc>
          <w:tcPr>
            <w:tcW w:w="1860" w:type="dxa"/>
          </w:tcPr>
          <w:p w14:paraId="648DC7B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提供时间</w:t>
            </w:r>
          </w:p>
        </w:tc>
      </w:tr>
      <w:tr w14:paraId="41411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55CD810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办公用房</w:t>
            </w:r>
          </w:p>
        </w:tc>
        <w:tc>
          <w:tcPr>
            <w:tcW w:w="2130" w:type="dxa"/>
          </w:tcPr>
          <w:p w14:paraId="4190C867">
            <w:pPr>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tc>
        <w:tc>
          <w:tcPr>
            <w:tcW w:w="2130" w:type="dxa"/>
          </w:tcPr>
          <w:p w14:paraId="423168AA">
            <w:pPr>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tc>
        <w:tc>
          <w:tcPr>
            <w:tcW w:w="1860" w:type="dxa"/>
          </w:tcPr>
          <w:p w14:paraId="3B4C628A">
            <w:pPr>
              <w:rPr>
                <w:rFonts w:hint="eastAsia" w:ascii="宋体" w:hAnsi="宋体" w:eastAsia="宋体" w:cs="宋体"/>
                <w:color w:val="auto"/>
                <w:szCs w:val="21"/>
                <w:highlight w:val="none"/>
              </w:rPr>
            </w:pPr>
          </w:p>
        </w:tc>
      </w:tr>
      <w:tr w14:paraId="0CE0B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4F69872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生活用房</w:t>
            </w:r>
          </w:p>
        </w:tc>
        <w:tc>
          <w:tcPr>
            <w:tcW w:w="2130" w:type="dxa"/>
          </w:tcPr>
          <w:p w14:paraId="5481C5E0">
            <w:pPr>
              <w:rPr>
                <w:rFonts w:hint="eastAsia" w:ascii="宋体" w:hAnsi="宋体" w:eastAsia="宋体" w:cs="宋体"/>
                <w:color w:val="auto"/>
                <w:szCs w:val="21"/>
                <w:highlight w:val="none"/>
              </w:rPr>
            </w:pPr>
          </w:p>
        </w:tc>
        <w:tc>
          <w:tcPr>
            <w:tcW w:w="2130" w:type="dxa"/>
          </w:tcPr>
          <w:p w14:paraId="3F2FDB21">
            <w:pPr>
              <w:rPr>
                <w:rFonts w:hint="eastAsia" w:ascii="宋体" w:hAnsi="宋体" w:eastAsia="宋体" w:cs="宋体"/>
                <w:color w:val="auto"/>
                <w:szCs w:val="21"/>
                <w:highlight w:val="none"/>
              </w:rPr>
            </w:pPr>
          </w:p>
        </w:tc>
        <w:tc>
          <w:tcPr>
            <w:tcW w:w="1860" w:type="dxa"/>
          </w:tcPr>
          <w:p w14:paraId="6A493ED2">
            <w:pPr>
              <w:rPr>
                <w:rFonts w:hint="eastAsia" w:ascii="宋体" w:hAnsi="宋体" w:eastAsia="宋体" w:cs="宋体"/>
                <w:color w:val="auto"/>
                <w:szCs w:val="21"/>
                <w:highlight w:val="none"/>
              </w:rPr>
            </w:pPr>
          </w:p>
        </w:tc>
      </w:tr>
      <w:tr w14:paraId="257B8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7499A264">
            <w:pPr>
              <w:rPr>
                <w:rFonts w:hint="eastAsia" w:ascii="宋体" w:hAnsi="宋体" w:eastAsia="宋体" w:cs="宋体"/>
                <w:dstrike/>
                <w:color w:val="auto"/>
                <w:szCs w:val="21"/>
                <w:highlight w:val="none"/>
              </w:rPr>
            </w:pPr>
            <w:r>
              <w:rPr>
                <w:rFonts w:hint="eastAsia" w:ascii="宋体" w:hAnsi="宋体" w:eastAsia="宋体" w:cs="宋体"/>
                <w:color w:val="auto"/>
                <w:szCs w:val="21"/>
                <w:highlight w:val="none"/>
              </w:rPr>
              <w:t>3. 试验用房</w:t>
            </w:r>
          </w:p>
        </w:tc>
        <w:tc>
          <w:tcPr>
            <w:tcW w:w="2130" w:type="dxa"/>
          </w:tcPr>
          <w:p w14:paraId="70430FB8">
            <w:pPr>
              <w:rPr>
                <w:rFonts w:hint="eastAsia" w:ascii="宋体" w:hAnsi="宋体" w:eastAsia="宋体" w:cs="宋体"/>
                <w:color w:val="auto"/>
                <w:szCs w:val="21"/>
                <w:highlight w:val="none"/>
              </w:rPr>
            </w:pPr>
          </w:p>
        </w:tc>
        <w:tc>
          <w:tcPr>
            <w:tcW w:w="2130" w:type="dxa"/>
          </w:tcPr>
          <w:p w14:paraId="5E4A0C9A">
            <w:pPr>
              <w:rPr>
                <w:rFonts w:hint="eastAsia" w:ascii="宋体" w:hAnsi="宋体" w:eastAsia="宋体" w:cs="宋体"/>
                <w:color w:val="auto"/>
                <w:szCs w:val="21"/>
                <w:highlight w:val="none"/>
              </w:rPr>
            </w:pPr>
          </w:p>
        </w:tc>
        <w:tc>
          <w:tcPr>
            <w:tcW w:w="1860" w:type="dxa"/>
          </w:tcPr>
          <w:p w14:paraId="3DA4FE69">
            <w:pPr>
              <w:rPr>
                <w:rFonts w:hint="eastAsia" w:ascii="宋体" w:hAnsi="宋体" w:eastAsia="宋体" w:cs="宋体"/>
                <w:color w:val="auto"/>
                <w:szCs w:val="21"/>
                <w:highlight w:val="none"/>
              </w:rPr>
            </w:pPr>
          </w:p>
        </w:tc>
      </w:tr>
      <w:tr w14:paraId="1901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0ABE193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4. 样品用房</w:t>
            </w:r>
          </w:p>
        </w:tc>
        <w:tc>
          <w:tcPr>
            <w:tcW w:w="2130" w:type="dxa"/>
          </w:tcPr>
          <w:p w14:paraId="1B40DBDD">
            <w:pPr>
              <w:rPr>
                <w:rFonts w:hint="eastAsia" w:ascii="宋体" w:hAnsi="宋体" w:eastAsia="宋体" w:cs="宋体"/>
                <w:color w:val="auto"/>
                <w:szCs w:val="21"/>
                <w:highlight w:val="none"/>
              </w:rPr>
            </w:pPr>
          </w:p>
        </w:tc>
        <w:tc>
          <w:tcPr>
            <w:tcW w:w="2130" w:type="dxa"/>
          </w:tcPr>
          <w:p w14:paraId="606F26C0">
            <w:pPr>
              <w:rPr>
                <w:rFonts w:hint="eastAsia" w:ascii="宋体" w:hAnsi="宋体" w:eastAsia="宋体" w:cs="宋体"/>
                <w:color w:val="auto"/>
                <w:szCs w:val="21"/>
                <w:highlight w:val="none"/>
              </w:rPr>
            </w:pPr>
          </w:p>
        </w:tc>
        <w:tc>
          <w:tcPr>
            <w:tcW w:w="1860" w:type="dxa"/>
          </w:tcPr>
          <w:p w14:paraId="7F528FED">
            <w:pPr>
              <w:rPr>
                <w:rFonts w:hint="eastAsia" w:ascii="宋体" w:hAnsi="宋体" w:eastAsia="宋体" w:cs="宋体"/>
                <w:color w:val="auto"/>
                <w:szCs w:val="21"/>
                <w:highlight w:val="none"/>
              </w:rPr>
            </w:pPr>
          </w:p>
        </w:tc>
      </w:tr>
      <w:tr w14:paraId="7FCB6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628C80E4">
            <w:pPr>
              <w:rPr>
                <w:rFonts w:hint="eastAsia" w:ascii="宋体" w:hAnsi="宋体" w:eastAsia="宋体" w:cs="宋体"/>
                <w:color w:val="auto"/>
                <w:szCs w:val="21"/>
                <w:highlight w:val="none"/>
              </w:rPr>
            </w:pPr>
          </w:p>
        </w:tc>
        <w:tc>
          <w:tcPr>
            <w:tcW w:w="2130" w:type="dxa"/>
          </w:tcPr>
          <w:p w14:paraId="48626A6D">
            <w:pPr>
              <w:rPr>
                <w:rFonts w:hint="eastAsia" w:ascii="宋体" w:hAnsi="宋体" w:eastAsia="宋体" w:cs="宋体"/>
                <w:color w:val="auto"/>
                <w:szCs w:val="21"/>
                <w:highlight w:val="none"/>
              </w:rPr>
            </w:pPr>
          </w:p>
        </w:tc>
        <w:tc>
          <w:tcPr>
            <w:tcW w:w="2130" w:type="dxa"/>
          </w:tcPr>
          <w:p w14:paraId="1EE15D3E">
            <w:pPr>
              <w:rPr>
                <w:rFonts w:hint="eastAsia" w:ascii="宋体" w:hAnsi="宋体" w:eastAsia="宋体" w:cs="宋体"/>
                <w:color w:val="auto"/>
                <w:szCs w:val="21"/>
                <w:highlight w:val="none"/>
              </w:rPr>
            </w:pPr>
          </w:p>
        </w:tc>
        <w:tc>
          <w:tcPr>
            <w:tcW w:w="1860" w:type="dxa"/>
          </w:tcPr>
          <w:p w14:paraId="3E7C94B0">
            <w:pPr>
              <w:rPr>
                <w:rFonts w:hint="eastAsia" w:ascii="宋体" w:hAnsi="宋体" w:eastAsia="宋体" w:cs="宋体"/>
                <w:color w:val="auto"/>
                <w:szCs w:val="21"/>
                <w:highlight w:val="none"/>
              </w:rPr>
            </w:pPr>
          </w:p>
        </w:tc>
      </w:tr>
      <w:tr w14:paraId="39977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6279B95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用餐及其他生活条件</w:t>
            </w:r>
          </w:p>
        </w:tc>
        <w:tc>
          <w:tcPr>
            <w:tcW w:w="6120" w:type="dxa"/>
            <w:gridSpan w:val="3"/>
          </w:tcPr>
          <w:p w14:paraId="2951D552">
            <w:pPr>
              <w:rPr>
                <w:rFonts w:hint="eastAsia" w:ascii="宋体" w:hAnsi="宋体" w:eastAsia="宋体" w:cs="宋体"/>
                <w:color w:val="auto"/>
                <w:szCs w:val="21"/>
                <w:highlight w:val="none"/>
              </w:rPr>
            </w:pPr>
          </w:p>
        </w:tc>
      </w:tr>
    </w:tbl>
    <w:p w14:paraId="14986700">
      <w:pPr>
        <w:pStyle w:val="14"/>
        <w:spacing w:line="360" w:lineRule="auto"/>
        <w:rPr>
          <w:rFonts w:hint="eastAsia" w:ascii="宋体" w:hAnsi="宋体" w:eastAsia="宋体" w:cs="宋体"/>
          <w:color w:val="auto"/>
          <w:highlight w:val="none"/>
        </w:rPr>
      </w:pPr>
      <w:bookmarkStart w:id="153" w:name="_Toc398107923"/>
      <w:r>
        <w:rPr>
          <w:rFonts w:hint="eastAsia" w:ascii="宋体" w:hAnsi="宋体" w:eastAsia="宋体" w:cs="宋体"/>
          <w:color w:val="auto"/>
          <w:highlight w:val="none"/>
        </w:rPr>
        <w:t>B-3  委托人提供的资料</w:t>
      </w:r>
      <w:bookmarkEnd w:id="153"/>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3"/>
        <w:gridCol w:w="1587"/>
        <w:gridCol w:w="2286"/>
        <w:gridCol w:w="2216"/>
      </w:tblGrid>
      <w:tr w14:paraId="779AC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tcPr>
          <w:p w14:paraId="5CD89AA7">
            <w:pP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名称</w:t>
            </w:r>
          </w:p>
        </w:tc>
        <w:tc>
          <w:tcPr>
            <w:tcW w:w="1587" w:type="dxa"/>
          </w:tcPr>
          <w:p w14:paraId="6E0A5772">
            <w:pP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份数</w:t>
            </w:r>
          </w:p>
        </w:tc>
        <w:tc>
          <w:tcPr>
            <w:tcW w:w="2286" w:type="dxa"/>
          </w:tcPr>
          <w:p w14:paraId="4CB82D67">
            <w:pP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提供时间</w:t>
            </w:r>
          </w:p>
        </w:tc>
        <w:tc>
          <w:tcPr>
            <w:tcW w:w="2216" w:type="dxa"/>
          </w:tcPr>
          <w:p w14:paraId="72EB1663">
            <w:pP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43E2B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tcPr>
          <w:p w14:paraId="054392EC">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 工程立项文件</w:t>
            </w:r>
          </w:p>
        </w:tc>
        <w:tc>
          <w:tcPr>
            <w:tcW w:w="1587" w:type="dxa"/>
          </w:tcPr>
          <w:p w14:paraId="0A74A13D">
            <w:pPr>
              <w:rPr>
                <w:rFonts w:hint="eastAsia" w:ascii="宋体" w:hAnsi="宋体" w:eastAsia="宋体" w:cs="宋体"/>
                <w:color w:val="auto"/>
                <w:kern w:val="0"/>
                <w:szCs w:val="21"/>
                <w:highlight w:val="none"/>
              </w:rPr>
            </w:pPr>
          </w:p>
        </w:tc>
        <w:tc>
          <w:tcPr>
            <w:tcW w:w="2286" w:type="dxa"/>
          </w:tcPr>
          <w:p w14:paraId="3AA45ACF">
            <w:pPr>
              <w:rPr>
                <w:rFonts w:hint="eastAsia" w:ascii="宋体" w:hAnsi="宋体" w:eastAsia="宋体" w:cs="宋体"/>
                <w:color w:val="auto"/>
                <w:kern w:val="0"/>
                <w:szCs w:val="21"/>
                <w:highlight w:val="none"/>
              </w:rPr>
            </w:pPr>
          </w:p>
        </w:tc>
        <w:tc>
          <w:tcPr>
            <w:tcW w:w="2216" w:type="dxa"/>
          </w:tcPr>
          <w:p w14:paraId="3972FFF6">
            <w:pPr>
              <w:rPr>
                <w:rFonts w:hint="eastAsia" w:ascii="宋体" w:hAnsi="宋体" w:eastAsia="宋体" w:cs="宋体"/>
                <w:color w:val="auto"/>
                <w:kern w:val="0"/>
                <w:szCs w:val="21"/>
                <w:highlight w:val="none"/>
              </w:rPr>
            </w:pPr>
          </w:p>
        </w:tc>
      </w:tr>
      <w:tr w14:paraId="3B259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tcPr>
          <w:p w14:paraId="153A9DA1">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 工程勘察文件</w:t>
            </w:r>
          </w:p>
        </w:tc>
        <w:tc>
          <w:tcPr>
            <w:tcW w:w="1587" w:type="dxa"/>
          </w:tcPr>
          <w:p w14:paraId="342BC2C5">
            <w:pPr>
              <w:rPr>
                <w:rFonts w:hint="eastAsia" w:ascii="宋体" w:hAnsi="宋体" w:eastAsia="宋体" w:cs="宋体"/>
                <w:color w:val="auto"/>
                <w:kern w:val="0"/>
                <w:szCs w:val="21"/>
                <w:highlight w:val="none"/>
              </w:rPr>
            </w:pPr>
          </w:p>
        </w:tc>
        <w:tc>
          <w:tcPr>
            <w:tcW w:w="2286" w:type="dxa"/>
          </w:tcPr>
          <w:p w14:paraId="5599FC61">
            <w:pPr>
              <w:rPr>
                <w:rFonts w:hint="eastAsia" w:ascii="宋体" w:hAnsi="宋体" w:eastAsia="宋体" w:cs="宋体"/>
                <w:color w:val="auto"/>
                <w:kern w:val="0"/>
                <w:szCs w:val="21"/>
                <w:highlight w:val="none"/>
              </w:rPr>
            </w:pPr>
          </w:p>
        </w:tc>
        <w:tc>
          <w:tcPr>
            <w:tcW w:w="2216" w:type="dxa"/>
          </w:tcPr>
          <w:p w14:paraId="0E0ADC74">
            <w:pPr>
              <w:rPr>
                <w:rFonts w:hint="eastAsia" w:ascii="宋体" w:hAnsi="宋体" w:eastAsia="宋体" w:cs="宋体"/>
                <w:color w:val="auto"/>
                <w:kern w:val="0"/>
                <w:szCs w:val="21"/>
                <w:highlight w:val="none"/>
              </w:rPr>
            </w:pPr>
          </w:p>
        </w:tc>
      </w:tr>
      <w:tr w14:paraId="7A525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tcPr>
          <w:p w14:paraId="0AE73722">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 工程设计及施工图纸</w:t>
            </w:r>
          </w:p>
        </w:tc>
        <w:tc>
          <w:tcPr>
            <w:tcW w:w="1587" w:type="dxa"/>
          </w:tcPr>
          <w:p w14:paraId="3BFDD3FF">
            <w:pPr>
              <w:rPr>
                <w:rFonts w:hint="eastAsia" w:ascii="宋体" w:hAnsi="宋体" w:eastAsia="宋体" w:cs="宋体"/>
                <w:color w:val="auto"/>
                <w:kern w:val="0"/>
                <w:szCs w:val="21"/>
                <w:highlight w:val="none"/>
              </w:rPr>
            </w:pPr>
          </w:p>
        </w:tc>
        <w:tc>
          <w:tcPr>
            <w:tcW w:w="2286" w:type="dxa"/>
          </w:tcPr>
          <w:p w14:paraId="3E60F13C">
            <w:pPr>
              <w:rPr>
                <w:rFonts w:hint="eastAsia" w:ascii="宋体" w:hAnsi="宋体" w:eastAsia="宋体" w:cs="宋体"/>
                <w:color w:val="auto"/>
                <w:kern w:val="0"/>
                <w:szCs w:val="21"/>
                <w:highlight w:val="none"/>
              </w:rPr>
            </w:pPr>
          </w:p>
        </w:tc>
        <w:tc>
          <w:tcPr>
            <w:tcW w:w="2216" w:type="dxa"/>
          </w:tcPr>
          <w:p w14:paraId="18509B32">
            <w:pPr>
              <w:rPr>
                <w:rFonts w:hint="eastAsia" w:ascii="宋体" w:hAnsi="宋体" w:eastAsia="宋体" w:cs="宋体"/>
                <w:color w:val="auto"/>
                <w:kern w:val="0"/>
                <w:szCs w:val="21"/>
                <w:highlight w:val="none"/>
              </w:rPr>
            </w:pPr>
          </w:p>
        </w:tc>
      </w:tr>
      <w:tr w14:paraId="33D06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tcPr>
          <w:p w14:paraId="5335DFFF">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 工程承包合同及其他相关合同</w:t>
            </w:r>
          </w:p>
        </w:tc>
        <w:tc>
          <w:tcPr>
            <w:tcW w:w="1587" w:type="dxa"/>
          </w:tcPr>
          <w:p w14:paraId="717C5A50">
            <w:pPr>
              <w:rPr>
                <w:rFonts w:hint="eastAsia" w:ascii="宋体" w:hAnsi="宋体" w:eastAsia="宋体" w:cs="宋体"/>
                <w:color w:val="auto"/>
                <w:kern w:val="0"/>
                <w:szCs w:val="21"/>
                <w:highlight w:val="none"/>
              </w:rPr>
            </w:pPr>
          </w:p>
        </w:tc>
        <w:tc>
          <w:tcPr>
            <w:tcW w:w="2286" w:type="dxa"/>
          </w:tcPr>
          <w:p w14:paraId="6ECCF8B8">
            <w:pPr>
              <w:rPr>
                <w:rFonts w:hint="eastAsia" w:ascii="宋体" w:hAnsi="宋体" w:eastAsia="宋体" w:cs="宋体"/>
                <w:color w:val="auto"/>
                <w:kern w:val="0"/>
                <w:szCs w:val="21"/>
                <w:highlight w:val="none"/>
              </w:rPr>
            </w:pPr>
          </w:p>
        </w:tc>
        <w:tc>
          <w:tcPr>
            <w:tcW w:w="2216" w:type="dxa"/>
          </w:tcPr>
          <w:p w14:paraId="1929A2F7">
            <w:pPr>
              <w:rPr>
                <w:rFonts w:hint="eastAsia" w:ascii="宋体" w:hAnsi="宋体" w:eastAsia="宋体" w:cs="宋体"/>
                <w:color w:val="auto"/>
                <w:kern w:val="0"/>
                <w:szCs w:val="21"/>
                <w:highlight w:val="none"/>
              </w:rPr>
            </w:pPr>
          </w:p>
        </w:tc>
      </w:tr>
      <w:tr w14:paraId="2AC77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tcPr>
          <w:p w14:paraId="1B1511DB">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 施工许可文件</w:t>
            </w:r>
          </w:p>
        </w:tc>
        <w:tc>
          <w:tcPr>
            <w:tcW w:w="1587" w:type="dxa"/>
          </w:tcPr>
          <w:p w14:paraId="1737ADD7">
            <w:pPr>
              <w:rPr>
                <w:rFonts w:hint="eastAsia" w:ascii="宋体" w:hAnsi="宋体" w:eastAsia="宋体" w:cs="宋体"/>
                <w:color w:val="auto"/>
                <w:kern w:val="0"/>
                <w:szCs w:val="21"/>
                <w:highlight w:val="none"/>
              </w:rPr>
            </w:pPr>
          </w:p>
        </w:tc>
        <w:tc>
          <w:tcPr>
            <w:tcW w:w="2286" w:type="dxa"/>
          </w:tcPr>
          <w:p w14:paraId="49B44FE9">
            <w:pPr>
              <w:rPr>
                <w:rFonts w:hint="eastAsia" w:ascii="宋体" w:hAnsi="宋体" w:eastAsia="宋体" w:cs="宋体"/>
                <w:color w:val="auto"/>
                <w:kern w:val="0"/>
                <w:szCs w:val="21"/>
                <w:highlight w:val="none"/>
              </w:rPr>
            </w:pPr>
          </w:p>
        </w:tc>
        <w:tc>
          <w:tcPr>
            <w:tcW w:w="2216" w:type="dxa"/>
          </w:tcPr>
          <w:p w14:paraId="4B2B34BF">
            <w:pPr>
              <w:rPr>
                <w:rFonts w:hint="eastAsia" w:ascii="宋体" w:hAnsi="宋体" w:eastAsia="宋体" w:cs="宋体"/>
                <w:color w:val="auto"/>
                <w:kern w:val="0"/>
                <w:szCs w:val="21"/>
                <w:highlight w:val="none"/>
              </w:rPr>
            </w:pPr>
          </w:p>
        </w:tc>
      </w:tr>
      <w:tr w14:paraId="10759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tcPr>
          <w:p w14:paraId="1B30C061">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 其他文件</w:t>
            </w:r>
          </w:p>
        </w:tc>
        <w:tc>
          <w:tcPr>
            <w:tcW w:w="1587" w:type="dxa"/>
          </w:tcPr>
          <w:p w14:paraId="2373CD56">
            <w:pPr>
              <w:rPr>
                <w:rFonts w:hint="eastAsia" w:ascii="宋体" w:hAnsi="宋体" w:eastAsia="宋体" w:cs="宋体"/>
                <w:color w:val="auto"/>
                <w:kern w:val="0"/>
                <w:szCs w:val="21"/>
                <w:highlight w:val="none"/>
              </w:rPr>
            </w:pPr>
          </w:p>
        </w:tc>
        <w:tc>
          <w:tcPr>
            <w:tcW w:w="2286" w:type="dxa"/>
          </w:tcPr>
          <w:p w14:paraId="30367EFD">
            <w:pPr>
              <w:rPr>
                <w:rFonts w:hint="eastAsia" w:ascii="宋体" w:hAnsi="宋体" w:eastAsia="宋体" w:cs="宋体"/>
                <w:color w:val="auto"/>
                <w:kern w:val="0"/>
                <w:szCs w:val="21"/>
                <w:highlight w:val="none"/>
              </w:rPr>
            </w:pPr>
          </w:p>
        </w:tc>
        <w:tc>
          <w:tcPr>
            <w:tcW w:w="2216" w:type="dxa"/>
          </w:tcPr>
          <w:p w14:paraId="4868A886">
            <w:pPr>
              <w:rPr>
                <w:rFonts w:hint="eastAsia" w:ascii="宋体" w:hAnsi="宋体" w:eastAsia="宋体" w:cs="宋体"/>
                <w:color w:val="auto"/>
                <w:kern w:val="0"/>
                <w:szCs w:val="21"/>
                <w:highlight w:val="none"/>
              </w:rPr>
            </w:pPr>
          </w:p>
        </w:tc>
      </w:tr>
      <w:tr w14:paraId="5CDA9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tcPr>
          <w:p w14:paraId="644C4C65">
            <w:pPr>
              <w:rPr>
                <w:rFonts w:hint="eastAsia" w:ascii="宋体" w:hAnsi="宋体" w:eastAsia="宋体" w:cs="宋体"/>
                <w:color w:val="auto"/>
                <w:kern w:val="0"/>
                <w:szCs w:val="21"/>
                <w:highlight w:val="none"/>
              </w:rPr>
            </w:pPr>
          </w:p>
        </w:tc>
        <w:tc>
          <w:tcPr>
            <w:tcW w:w="1587" w:type="dxa"/>
          </w:tcPr>
          <w:p w14:paraId="12A47D16">
            <w:pPr>
              <w:rPr>
                <w:rFonts w:hint="eastAsia" w:ascii="宋体" w:hAnsi="宋体" w:eastAsia="宋体" w:cs="宋体"/>
                <w:color w:val="auto"/>
                <w:kern w:val="0"/>
                <w:szCs w:val="21"/>
                <w:highlight w:val="none"/>
              </w:rPr>
            </w:pPr>
          </w:p>
        </w:tc>
        <w:tc>
          <w:tcPr>
            <w:tcW w:w="2286" w:type="dxa"/>
          </w:tcPr>
          <w:p w14:paraId="3BD1EF3B">
            <w:pPr>
              <w:rPr>
                <w:rFonts w:hint="eastAsia" w:ascii="宋体" w:hAnsi="宋体" w:eastAsia="宋体" w:cs="宋体"/>
                <w:color w:val="auto"/>
                <w:kern w:val="0"/>
                <w:szCs w:val="21"/>
                <w:highlight w:val="none"/>
              </w:rPr>
            </w:pPr>
          </w:p>
        </w:tc>
        <w:tc>
          <w:tcPr>
            <w:tcW w:w="2216" w:type="dxa"/>
          </w:tcPr>
          <w:p w14:paraId="3DAB9E35">
            <w:pPr>
              <w:rPr>
                <w:rFonts w:hint="eastAsia" w:ascii="宋体" w:hAnsi="宋体" w:eastAsia="宋体" w:cs="宋体"/>
                <w:color w:val="auto"/>
                <w:kern w:val="0"/>
                <w:szCs w:val="21"/>
                <w:highlight w:val="none"/>
              </w:rPr>
            </w:pPr>
          </w:p>
        </w:tc>
      </w:tr>
    </w:tbl>
    <w:p w14:paraId="3A8A0414">
      <w:pPr>
        <w:pStyle w:val="14"/>
        <w:spacing w:line="360" w:lineRule="auto"/>
        <w:rPr>
          <w:rFonts w:hint="eastAsia" w:ascii="宋体" w:hAnsi="宋体" w:eastAsia="宋体" w:cs="宋体"/>
          <w:color w:val="auto"/>
          <w:highlight w:val="none"/>
        </w:rPr>
      </w:pPr>
      <w:bookmarkStart w:id="154" w:name="_Toc398107924"/>
      <w:r>
        <w:rPr>
          <w:rFonts w:hint="eastAsia" w:ascii="宋体" w:hAnsi="宋体" w:eastAsia="宋体" w:cs="宋体"/>
          <w:color w:val="auto"/>
          <w:highlight w:val="none"/>
        </w:rPr>
        <w:t>B-4 委托人提供的设备</w:t>
      </w:r>
      <w:bookmarkEnd w:id="154"/>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4"/>
        <w:gridCol w:w="1684"/>
        <w:gridCol w:w="2255"/>
        <w:gridCol w:w="1969"/>
      </w:tblGrid>
      <w:tr w14:paraId="611E4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4" w:type="dxa"/>
          </w:tcPr>
          <w:p w14:paraId="13EEBA5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1684" w:type="dxa"/>
          </w:tcPr>
          <w:p w14:paraId="2F0B0A5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2255" w:type="dxa"/>
          </w:tcPr>
          <w:p w14:paraId="0129337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型号与规格</w:t>
            </w:r>
          </w:p>
        </w:tc>
        <w:tc>
          <w:tcPr>
            <w:tcW w:w="1969" w:type="dxa"/>
          </w:tcPr>
          <w:p w14:paraId="1B4D29B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提供时间</w:t>
            </w:r>
          </w:p>
        </w:tc>
      </w:tr>
      <w:tr w14:paraId="1CCD3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4" w:type="dxa"/>
          </w:tcPr>
          <w:p w14:paraId="42761DD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通讯设备</w:t>
            </w:r>
          </w:p>
        </w:tc>
        <w:tc>
          <w:tcPr>
            <w:tcW w:w="1684" w:type="dxa"/>
          </w:tcPr>
          <w:p w14:paraId="15DC37A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255" w:type="dxa"/>
          </w:tcPr>
          <w:p w14:paraId="0116BDAE">
            <w:pPr>
              <w:rPr>
                <w:rFonts w:hint="eastAsia" w:ascii="宋体" w:hAnsi="宋体" w:eastAsia="宋体" w:cs="宋体"/>
                <w:color w:val="auto"/>
                <w:szCs w:val="21"/>
                <w:highlight w:val="none"/>
              </w:rPr>
            </w:pPr>
          </w:p>
        </w:tc>
        <w:tc>
          <w:tcPr>
            <w:tcW w:w="1969" w:type="dxa"/>
          </w:tcPr>
          <w:p w14:paraId="40284C92">
            <w:pPr>
              <w:rPr>
                <w:rFonts w:hint="eastAsia" w:ascii="宋体" w:hAnsi="宋体" w:eastAsia="宋体" w:cs="宋体"/>
                <w:color w:val="auto"/>
                <w:szCs w:val="21"/>
                <w:highlight w:val="none"/>
              </w:rPr>
            </w:pPr>
          </w:p>
        </w:tc>
      </w:tr>
      <w:tr w14:paraId="72673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4" w:type="dxa"/>
          </w:tcPr>
          <w:p w14:paraId="2FE142F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办公设备</w:t>
            </w:r>
          </w:p>
        </w:tc>
        <w:tc>
          <w:tcPr>
            <w:tcW w:w="1684" w:type="dxa"/>
          </w:tcPr>
          <w:p w14:paraId="109BA8B5">
            <w:pPr>
              <w:rPr>
                <w:rFonts w:hint="eastAsia" w:ascii="宋体" w:hAnsi="宋体" w:eastAsia="宋体" w:cs="宋体"/>
                <w:color w:val="auto"/>
                <w:highlight w:val="none"/>
              </w:rPr>
            </w:pPr>
            <w:r>
              <w:rPr>
                <w:rFonts w:hint="eastAsia" w:ascii="宋体" w:hAnsi="宋体" w:eastAsia="宋体" w:cs="宋体"/>
                <w:color w:val="auto"/>
                <w:szCs w:val="21"/>
                <w:highlight w:val="none"/>
              </w:rPr>
              <w:t>/</w:t>
            </w:r>
          </w:p>
        </w:tc>
        <w:tc>
          <w:tcPr>
            <w:tcW w:w="2255" w:type="dxa"/>
          </w:tcPr>
          <w:p w14:paraId="345698BD">
            <w:pPr>
              <w:rPr>
                <w:rFonts w:hint="eastAsia" w:ascii="宋体" w:hAnsi="宋体" w:eastAsia="宋体" w:cs="宋体"/>
                <w:color w:val="auto"/>
                <w:szCs w:val="21"/>
                <w:highlight w:val="none"/>
              </w:rPr>
            </w:pPr>
          </w:p>
        </w:tc>
        <w:tc>
          <w:tcPr>
            <w:tcW w:w="1969" w:type="dxa"/>
          </w:tcPr>
          <w:p w14:paraId="2A0E0AB2">
            <w:pPr>
              <w:rPr>
                <w:rFonts w:hint="eastAsia" w:ascii="宋体" w:hAnsi="宋体" w:eastAsia="宋体" w:cs="宋体"/>
                <w:color w:val="auto"/>
                <w:szCs w:val="21"/>
                <w:highlight w:val="none"/>
              </w:rPr>
            </w:pPr>
          </w:p>
        </w:tc>
      </w:tr>
      <w:tr w14:paraId="1BC34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4" w:type="dxa"/>
          </w:tcPr>
          <w:p w14:paraId="742A339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 交通工具</w:t>
            </w:r>
          </w:p>
        </w:tc>
        <w:tc>
          <w:tcPr>
            <w:tcW w:w="1684" w:type="dxa"/>
          </w:tcPr>
          <w:p w14:paraId="0A794F03">
            <w:pPr>
              <w:rPr>
                <w:rFonts w:hint="eastAsia" w:ascii="宋体" w:hAnsi="宋体" w:eastAsia="宋体" w:cs="宋体"/>
                <w:color w:val="auto"/>
                <w:highlight w:val="none"/>
              </w:rPr>
            </w:pPr>
            <w:r>
              <w:rPr>
                <w:rFonts w:hint="eastAsia" w:ascii="宋体" w:hAnsi="宋体" w:eastAsia="宋体" w:cs="宋体"/>
                <w:color w:val="auto"/>
                <w:szCs w:val="21"/>
                <w:highlight w:val="none"/>
              </w:rPr>
              <w:t>/</w:t>
            </w:r>
          </w:p>
        </w:tc>
        <w:tc>
          <w:tcPr>
            <w:tcW w:w="2255" w:type="dxa"/>
          </w:tcPr>
          <w:p w14:paraId="0BB4D606">
            <w:pPr>
              <w:rPr>
                <w:rFonts w:hint="eastAsia" w:ascii="宋体" w:hAnsi="宋体" w:eastAsia="宋体" w:cs="宋体"/>
                <w:color w:val="auto"/>
                <w:szCs w:val="21"/>
                <w:highlight w:val="none"/>
              </w:rPr>
            </w:pPr>
          </w:p>
        </w:tc>
        <w:tc>
          <w:tcPr>
            <w:tcW w:w="1969" w:type="dxa"/>
          </w:tcPr>
          <w:p w14:paraId="44257C1C">
            <w:pPr>
              <w:rPr>
                <w:rFonts w:hint="eastAsia" w:ascii="宋体" w:hAnsi="宋体" w:eastAsia="宋体" w:cs="宋体"/>
                <w:color w:val="auto"/>
                <w:szCs w:val="21"/>
                <w:highlight w:val="none"/>
              </w:rPr>
            </w:pPr>
          </w:p>
        </w:tc>
      </w:tr>
      <w:tr w14:paraId="01108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4" w:type="dxa"/>
          </w:tcPr>
          <w:p w14:paraId="2DAB069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4. 检测和试验设备</w:t>
            </w:r>
          </w:p>
        </w:tc>
        <w:tc>
          <w:tcPr>
            <w:tcW w:w="1684" w:type="dxa"/>
          </w:tcPr>
          <w:p w14:paraId="1B1B91B6">
            <w:pPr>
              <w:rPr>
                <w:rFonts w:hint="eastAsia" w:ascii="宋体" w:hAnsi="宋体" w:eastAsia="宋体" w:cs="宋体"/>
                <w:color w:val="auto"/>
                <w:highlight w:val="none"/>
              </w:rPr>
            </w:pPr>
            <w:r>
              <w:rPr>
                <w:rFonts w:hint="eastAsia" w:ascii="宋体" w:hAnsi="宋体" w:eastAsia="宋体" w:cs="宋体"/>
                <w:color w:val="auto"/>
                <w:szCs w:val="21"/>
                <w:highlight w:val="none"/>
              </w:rPr>
              <w:t>/</w:t>
            </w:r>
          </w:p>
        </w:tc>
        <w:tc>
          <w:tcPr>
            <w:tcW w:w="2255" w:type="dxa"/>
          </w:tcPr>
          <w:p w14:paraId="4ACB4041">
            <w:pPr>
              <w:rPr>
                <w:rFonts w:hint="eastAsia" w:ascii="宋体" w:hAnsi="宋体" w:eastAsia="宋体" w:cs="宋体"/>
                <w:color w:val="auto"/>
                <w:szCs w:val="21"/>
                <w:highlight w:val="none"/>
              </w:rPr>
            </w:pPr>
          </w:p>
        </w:tc>
        <w:tc>
          <w:tcPr>
            <w:tcW w:w="1969" w:type="dxa"/>
          </w:tcPr>
          <w:p w14:paraId="170CD629">
            <w:pPr>
              <w:rPr>
                <w:rFonts w:hint="eastAsia" w:ascii="宋体" w:hAnsi="宋体" w:eastAsia="宋体" w:cs="宋体"/>
                <w:color w:val="auto"/>
                <w:szCs w:val="21"/>
                <w:highlight w:val="none"/>
              </w:rPr>
            </w:pPr>
          </w:p>
        </w:tc>
      </w:tr>
      <w:tr w14:paraId="632AD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4" w:type="dxa"/>
          </w:tcPr>
          <w:p w14:paraId="0702B123">
            <w:pPr>
              <w:rPr>
                <w:rFonts w:hint="eastAsia" w:ascii="宋体" w:hAnsi="宋体" w:eastAsia="宋体" w:cs="宋体"/>
                <w:color w:val="auto"/>
                <w:szCs w:val="21"/>
                <w:highlight w:val="none"/>
              </w:rPr>
            </w:pPr>
          </w:p>
        </w:tc>
        <w:tc>
          <w:tcPr>
            <w:tcW w:w="1684" w:type="dxa"/>
          </w:tcPr>
          <w:p w14:paraId="691E7B92">
            <w:pPr>
              <w:rPr>
                <w:rFonts w:hint="eastAsia" w:ascii="宋体" w:hAnsi="宋体" w:eastAsia="宋体" w:cs="宋体"/>
                <w:color w:val="auto"/>
                <w:highlight w:val="none"/>
              </w:rPr>
            </w:pPr>
            <w:r>
              <w:rPr>
                <w:rFonts w:hint="eastAsia" w:ascii="宋体" w:hAnsi="宋体" w:eastAsia="宋体" w:cs="宋体"/>
                <w:color w:val="auto"/>
                <w:szCs w:val="21"/>
                <w:highlight w:val="none"/>
              </w:rPr>
              <w:t>/</w:t>
            </w:r>
          </w:p>
        </w:tc>
        <w:tc>
          <w:tcPr>
            <w:tcW w:w="2255" w:type="dxa"/>
          </w:tcPr>
          <w:p w14:paraId="7436E919">
            <w:pPr>
              <w:rPr>
                <w:rFonts w:hint="eastAsia" w:ascii="宋体" w:hAnsi="宋体" w:eastAsia="宋体" w:cs="宋体"/>
                <w:color w:val="auto"/>
                <w:szCs w:val="21"/>
                <w:highlight w:val="none"/>
              </w:rPr>
            </w:pPr>
          </w:p>
        </w:tc>
        <w:tc>
          <w:tcPr>
            <w:tcW w:w="1969" w:type="dxa"/>
          </w:tcPr>
          <w:p w14:paraId="7DE94801">
            <w:pPr>
              <w:rPr>
                <w:rFonts w:hint="eastAsia" w:ascii="宋体" w:hAnsi="宋体" w:eastAsia="宋体" w:cs="宋体"/>
                <w:color w:val="auto"/>
                <w:szCs w:val="21"/>
                <w:highlight w:val="none"/>
              </w:rPr>
            </w:pPr>
          </w:p>
        </w:tc>
      </w:tr>
    </w:tbl>
    <w:p w14:paraId="79A81695">
      <w:pPr>
        <w:pStyle w:val="12"/>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第四章 项目需求</w:t>
      </w:r>
    </w:p>
    <w:p w14:paraId="13D32D5E">
      <w:pPr>
        <w:tabs>
          <w:tab w:val="left" w:pos="5250"/>
        </w:tabs>
        <w:autoSpaceDE w:val="0"/>
        <w:autoSpaceDN w:val="0"/>
        <w:adjustRightInd w:val="0"/>
        <w:spacing w:line="360" w:lineRule="auto"/>
        <w:ind w:firstLine="422" w:firstLineChars="20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（一）监理单位对监理工作适用的法规及监理依据</w:t>
      </w:r>
    </w:p>
    <w:p w14:paraId="7BA00645">
      <w:pPr>
        <w:tabs>
          <w:tab w:val="left" w:pos="5250"/>
        </w:tabs>
        <w:autoSpaceDE w:val="0"/>
        <w:autoSpaceDN w:val="0"/>
        <w:adjustRightInd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1、通用施工监理规范。</w:t>
      </w:r>
    </w:p>
    <w:p w14:paraId="793313B1">
      <w:pPr>
        <w:tabs>
          <w:tab w:val="left" w:pos="5250"/>
        </w:tabs>
        <w:autoSpaceDE w:val="0"/>
        <w:autoSpaceDN w:val="0"/>
        <w:adjustRightInd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2、专用施工监理规范。</w:t>
      </w:r>
    </w:p>
    <w:p w14:paraId="73DBDB2D">
      <w:pPr>
        <w:tabs>
          <w:tab w:val="left" w:pos="5250"/>
        </w:tabs>
        <w:autoSpaceDE w:val="0"/>
        <w:autoSpaceDN w:val="0"/>
        <w:adjustRightInd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建设主管部门有最新规范、办法等，以最新规范、办法等为准；</w:t>
      </w:r>
    </w:p>
    <w:p w14:paraId="38E90937">
      <w:pPr>
        <w:tabs>
          <w:tab w:val="left" w:pos="5250"/>
        </w:tabs>
        <w:autoSpaceDE w:val="0"/>
        <w:autoSpaceDN w:val="0"/>
        <w:adjustRightInd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采购人制定的指导意见。</w:t>
      </w:r>
    </w:p>
    <w:p w14:paraId="5117D99F">
      <w:pPr>
        <w:tabs>
          <w:tab w:val="left" w:pos="5250"/>
        </w:tabs>
        <w:autoSpaceDE w:val="0"/>
        <w:autoSpaceDN w:val="0"/>
        <w:adjustRightInd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3、依法签订的施工监理合同；</w:t>
      </w:r>
    </w:p>
    <w:p w14:paraId="4FCCD64E">
      <w:pPr>
        <w:tabs>
          <w:tab w:val="left" w:pos="5250"/>
        </w:tabs>
        <w:autoSpaceDE w:val="0"/>
        <w:autoSpaceDN w:val="0"/>
        <w:adjustRightInd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4、依法签订的施工承包合同；</w:t>
      </w:r>
    </w:p>
    <w:p w14:paraId="6CF17A00">
      <w:pPr>
        <w:tabs>
          <w:tab w:val="left" w:pos="5250"/>
        </w:tabs>
        <w:autoSpaceDE w:val="0"/>
        <w:autoSpaceDN w:val="0"/>
        <w:adjustRightInd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5、由采购人提供认可的施工图纸、施工组织设计；</w:t>
      </w:r>
    </w:p>
    <w:p w14:paraId="58A9E195">
      <w:pPr>
        <w:tabs>
          <w:tab w:val="left" w:pos="5250"/>
        </w:tabs>
        <w:autoSpaceDE w:val="0"/>
        <w:autoSpaceDN w:val="0"/>
        <w:adjustRightInd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6、采购人认可的监理规范及监理实施细则；</w:t>
      </w:r>
    </w:p>
    <w:p w14:paraId="1E9E4F94">
      <w:pPr>
        <w:tabs>
          <w:tab w:val="left" w:pos="5250"/>
        </w:tabs>
        <w:autoSpaceDE w:val="0"/>
        <w:autoSpaceDN w:val="0"/>
        <w:adjustRightInd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7、国家、地方颁发的法规。</w:t>
      </w:r>
    </w:p>
    <w:p w14:paraId="16F54039">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（二）监理服务范围与内容</w:t>
      </w:r>
    </w:p>
    <w:p w14:paraId="1CD4DA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监理实行总监理工程师负责制，总监理工程师行使监理合同委托的权限，全面负责受委托的监理工作。</w:t>
      </w:r>
    </w:p>
    <w:p w14:paraId="78E3EF2A">
      <w:pPr>
        <w:spacing w:line="360" w:lineRule="auto"/>
        <w:ind w:firstLine="420" w:firstLineChars="200"/>
        <w:outlineLvl w:val="0"/>
        <w:rPr>
          <w:rFonts w:hint="eastAsia" w:ascii="宋体" w:hAnsi="宋体" w:eastAsia="宋体" w:cs="宋体"/>
          <w:color w:val="auto"/>
          <w:szCs w:val="21"/>
          <w:highlight w:val="none"/>
          <w:u w:val="single"/>
        </w:rPr>
      </w:pPr>
      <w:r>
        <w:rPr>
          <w:rFonts w:hint="eastAsia" w:ascii="宋体" w:hAnsi="宋体" w:eastAsia="宋体" w:cs="宋体"/>
          <w:color w:val="auto"/>
          <w:highlight w:val="none"/>
        </w:rPr>
        <w:t>监理范围</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u w:val="single"/>
          <w:lang w:val="en-US" w:eastAsia="zh-CN"/>
        </w:rPr>
        <w:t>西区初中校南侧规划道路新建工程</w:t>
      </w:r>
      <w:r>
        <w:rPr>
          <w:rFonts w:hint="eastAsia" w:ascii="宋体" w:hAnsi="宋体" w:eastAsia="宋体" w:cs="宋体"/>
          <w:color w:val="auto"/>
          <w:highlight w:val="none"/>
          <w:u w:val="single"/>
        </w:rPr>
        <w:t>施工图纸及工程量清单范围内的</w:t>
      </w:r>
      <w:r>
        <w:rPr>
          <w:rFonts w:hint="eastAsia" w:ascii="宋体" w:hAnsi="宋体" w:eastAsia="宋体" w:cs="宋体"/>
          <w:color w:val="auto"/>
          <w:highlight w:val="none"/>
          <w:u w:val="single"/>
          <w:lang w:val="en-US" w:eastAsia="zh-CN"/>
        </w:rPr>
        <w:t>土石方工程、道路工程、雨污水工程、交安设施工程、景观绿化工程、路灯工程</w:t>
      </w:r>
      <w:r>
        <w:rPr>
          <w:rFonts w:hint="eastAsia" w:ascii="宋体" w:hAnsi="宋体" w:eastAsia="宋体" w:cs="宋体"/>
          <w:color w:val="auto"/>
          <w:highlight w:val="none"/>
          <w:u w:val="single"/>
        </w:rPr>
        <w:t>等</w:t>
      </w:r>
      <w:r>
        <w:rPr>
          <w:rFonts w:hint="eastAsia" w:ascii="宋体" w:hAnsi="宋体" w:eastAsia="宋体" w:cs="宋体"/>
          <w:color w:val="auto"/>
          <w:kern w:val="0"/>
          <w:szCs w:val="21"/>
          <w:highlight w:val="none"/>
          <w:u w:val="single"/>
        </w:rPr>
        <w:t>立项批复中涉及到的所有工程的施工阶段全过程及保修阶段的监理。</w:t>
      </w:r>
    </w:p>
    <w:p w14:paraId="77BB78A0">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color w:val="auto"/>
          <w:szCs w:val="21"/>
          <w:highlight w:val="none"/>
          <w:u w:val="single"/>
        </w:rPr>
      </w:pPr>
      <w:r>
        <w:rPr>
          <w:rFonts w:hint="eastAsia"/>
          <w:color w:val="auto"/>
          <w:szCs w:val="21"/>
          <w:highlight w:val="none"/>
          <w:u w:val="single"/>
        </w:rPr>
        <w:t>施工阶段和保修阶段的三控制、</w:t>
      </w:r>
      <w:r>
        <w:rPr>
          <w:rFonts w:hint="eastAsia"/>
          <w:color w:val="auto"/>
          <w:szCs w:val="21"/>
          <w:highlight w:val="none"/>
          <w:u w:val="single"/>
          <w:lang w:val="en-US" w:eastAsia="zh-CN"/>
        </w:rPr>
        <w:t>三</w:t>
      </w:r>
      <w:r>
        <w:rPr>
          <w:rFonts w:hint="eastAsia"/>
          <w:color w:val="auto"/>
          <w:szCs w:val="21"/>
          <w:highlight w:val="none"/>
          <w:u w:val="single"/>
        </w:rPr>
        <w:t>管理、一协调。</w:t>
      </w:r>
      <w:r>
        <w:rPr>
          <w:rFonts w:hint="eastAsia"/>
          <w:color w:val="auto"/>
          <w:sz w:val="21"/>
          <w:szCs w:val="21"/>
          <w:highlight w:val="none"/>
          <w:u w:val="single"/>
          <w:lang w:eastAsia="zh-CN"/>
        </w:rPr>
        <w:t>包含但不限于以下事项：（1）投资控制；（2）工期控制；（3）质量控制；（4）信息管理；（5）合同管理；（6）安全管理；（7）组织协调；（8）质量保修期的监理工作；（9）委托人委托的其他工作。</w:t>
      </w:r>
    </w:p>
    <w:p w14:paraId="665D39D7">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具体内容为：</w:t>
      </w:r>
    </w:p>
    <w:p w14:paraId="26E27A5B">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、协助采购人与承包商编写开工报告，协助采购人办理开工手续。</w:t>
      </w:r>
    </w:p>
    <w:p w14:paraId="29A4E083">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、确认承包商选择的分包商。</w:t>
      </w:r>
    </w:p>
    <w:p w14:paraId="1308B74D">
      <w:pPr>
        <w:spacing w:line="360" w:lineRule="auto"/>
        <w:ind w:firstLine="420" w:firstLineChars="200"/>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、参加施工图会审。</w:t>
      </w:r>
    </w:p>
    <w:p w14:paraId="6611A951">
      <w:pPr>
        <w:spacing w:line="360" w:lineRule="auto"/>
        <w:ind w:firstLine="420" w:firstLineChars="200"/>
        <w:rPr>
          <w:rFonts w:asci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、审查承包商提出的施工组织设计、施工技术方案、施工进度计划、施工质量保证体系和施工安全保证体系。</w:t>
      </w:r>
    </w:p>
    <w:p w14:paraId="59235383">
      <w:pPr>
        <w:spacing w:line="360" w:lineRule="auto"/>
        <w:ind w:firstLine="420" w:firstLineChars="200"/>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、督促、检查承包商严格执行承包合同和国家技术规范、标准，协调采购人和承包商之间的关系。</w:t>
      </w:r>
    </w:p>
    <w:p w14:paraId="429FE9B7">
      <w:pPr>
        <w:spacing w:line="360" w:lineRule="auto"/>
        <w:ind w:firstLine="420" w:firstLineChars="200"/>
        <w:rPr>
          <w:rFonts w:asci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监理单位对本工程所使用的大宗材料和主要、重要材料的检测试验，做好见证取样工作，其方法和检测频率必须按照国家有关规定执行。如发生质量争议需送建设行业主管部门指定单位检测试验的，应事先报告采购人并经采购人代表同意后，检测费用由采购人支付或按合同约定结算。</w:t>
      </w:r>
    </w:p>
    <w:p w14:paraId="79F9906D">
      <w:pPr>
        <w:spacing w:line="360" w:lineRule="auto"/>
        <w:ind w:firstLine="420" w:firstLineChars="200"/>
        <w:rPr>
          <w:rFonts w:ascii="宋体" w:cs="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、根据施工进度计划协助采购人编制用款计划；审核经质量验收合格的工程量，并签证工程款支付申请表；协助采购人进行工程竣工结算工作。</w:t>
      </w:r>
    </w:p>
    <w:p w14:paraId="1EBE98A9">
      <w:pPr>
        <w:spacing w:line="360" w:lineRule="auto"/>
        <w:ind w:firstLine="420" w:firstLineChars="200"/>
        <w:rPr>
          <w:rFonts w:ascii="宋体" w:cs="宋体"/>
          <w:color w:val="auto"/>
          <w:szCs w:val="21"/>
          <w:highlight w:val="none"/>
        </w:rPr>
      </w:pPr>
      <w:r>
        <w:rPr>
          <w:rFonts w:ascii="宋体" w:hAnsi="宋体" w:cs="宋体"/>
          <w:color w:val="auto"/>
          <w:szCs w:val="21"/>
          <w:highlight w:val="none"/>
        </w:rPr>
        <w:t>8</w:t>
      </w:r>
      <w:r>
        <w:rPr>
          <w:rFonts w:hint="eastAsia" w:ascii="宋体" w:hAnsi="宋体" w:cs="宋体"/>
          <w:color w:val="auto"/>
          <w:szCs w:val="21"/>
          <w:highlight w:val="none"/>
        </w:rPr>
        <w:t>、审批承包商报送的施工总进度计划；审批承包商编制的年、季、月度施工计划；分阶段协调施工进度计划，及时提出调整意见，督促承包商实施进度计划。</w:t>
      </w:r>
    </w:p>
    <w:p w14:paraId="3888422F">
      <w:pPr>
        <w:spacing w:line="360" w:lineRule="auto"/>
        <w:ind w:firstLine="420" w:firstLineChars="200"/>
        <w:rPr>
          <w:rFonts w:ascii="宋体" w:cs="宋体"/>
          <w:color w:val="auto"/>
          <w:szCs w:val="21"/>
          <w:highlight w:val="none"/>
        </w:rPr>
      </w:pPr>
      <w:r>
        <w:rPr>
          <w:rFonts w:ascii="宋体" w:hAnsi="宋体" w:cs="宋体"/>
          <w:color w:val="auto"/>
          <w:szCs w:val="21"/>
          <w:highlight w:val="none"/>
        </w:rPr>
        <w:t>9</w:t>
      </w:r>
      <w:r>
        <w:rPr>
          <w:rFonts w:hint="eastAsia" w:ascii="宋体" w:hAnsi="宋体" w:cs="宋体"/>
          <w:color w:val="auto"/>
          <w:szCs w:val="21"/>
          <w:highlight w:val="none"/>
        </w:rPr>
        <w:t>、督促承包商严格按现行规范、规程、强制性质量控制标准和设计要求施工、控制工程质量。</w:t>
      </w:r>
    </w:p>
    <w:p w14:paraId="3C415E9F">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10</w:t>
      </w:r>
      <w:r>
        <w:rPr>
          <w:rFonts w:hint="eastAsia" w:ascii="宋体" w:hAnsi="宋体" w:cs="宋体"/>
          <w:color w:val="auto"/>
          <w:szCs w:val="21"/>
          <w:highlight w:val="none"/>
        </w:rPr>
        <w:t>、督促、检查承包商落实施工安全保证措施。</w:t>
      </w:r>
    </w:p>
    <w:p w14:paraId="4ACC2793">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11</w:t>
      </w:r>
      <w:r>
        <w:rPr>
          <w:rFonts w:hint="eastAsia" w:ascii="宋体" w:hAnsi="宋体" w:cs="宋体"/>
          <w:color w:val="auto"/>
          <w:szCs w:val="21"/>
          <w:highlight w:val="none"/>
        </w:rPr>
        <w:t>、组织分项工程和隐蔽工程的检查、验收、签发工程付款凭证。</w:t>
      </w:r>
    </w:p>
    <w:p w14:paraId="0F48CFEB">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12</w:t>
      </w:r>
      <w:r>
        <w:rPr>
          <w:rFonts w:hint="eastAsia" w:ascii="宋体" w:hAnsi="宋体" w:cs="宋体"/>
          <w:color w:val="auto"/>
          <w:szCs w:val="21"/>
          <w:highlight w:val="none"/>
        </w:rPr>
        <w:t>、负责施工现场签证。</w:t>
      </w:r>
    </w:p>
    <w:p w14:paraId="18800F6D">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13</w:t>
      </w:r>
      <w:r>
        <w:rPr>
          <w:rFonts w:hint="eastAsia" w:ascii="宋体" w:hAnsi="宋体" w:cs="宋体"/>
          <w:color w:val="auto"/>
          <w:szCs w:val="21"/>
          <w:highlight w:val="none"/>
        </w:rPr>
        <w:t>、督促承包商整理合同文件和技术档案资料。</w:t>
      </w:r>
    </w:p>
    <w:p w14:paraId="08E14293">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14</w:t>
      </w:r>
      <w:r>
        <w:rPr>
          <w:rFonts w:hint="eastAsia" w:ascii="宋体" w:hAnsi="宋体" w:cs="宋体"/>
          <w:color w:val="auto"/>
          <w:szCs w:val="21"/>
          <w:highlight w:val="none"/>
        </w:rPr>
        <w:t>、组织采购人和承包商进行工程竣工初步验收。</w:t>
      </w:r>
    </w:p>
    <w:p w14:paraId="4892956C">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15</w:t>
      </w:r>
      <w:r>
        <w:rPr>
          <w:rFonts w:hint="eastAsia" w:ascii="宋体" w:hAnsi="宋体" w:cs="宋体"/>
          <w:color w:val="auto"/>
          <w:szCs w:val="21"/>
          <w:highlight w:val="none"/>
        </w:rPr>
        <w:t>、提出质量评估报告。</w:t>
      </w:r>
    </w:p>
    <w:p w14:paraId="0FB3C0B8">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16</w:t>
      </w:r>
      <w:r>
        <w:rPr>
          <w:rFonts w:hint="eastAsia" w:ascii="宋体" w:hAnsi="宋体" w:cs="宋体"/>
          <w:color w:val="auto"/>
          <w:szCs w:val="21"/>
          <w:highlight w:val="none"/>
        </w:rPr>
        <w:t>、参加验收，协助采购人审查结算。</w:t>
      </w:r>
    </w:p>
    <w:p w14:paraId="2AB074D4">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17</w:t>
      </w:r>
      <w:r>
        <w:rPr>
          <w:rFonts w:hint="eastAsia" w:ascii="宋体" w:hAnsi="宋体" w:cs="宋体"/>
          <w:color w:val="auto"/>
          <w:szCs w:val="21"/>
          <w:highlight w:val="none"/>
        </w:rPr>
        <w:t>、检查项目状况，参与鉴定质量责任。</w:t>
      </w:r>
    </w:p>
    <w:p w14:paraId="289028D0">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18</w:t>
      </w:r>
      <w:r>
        <w:rPr>
          <w:rFonts w:hint="eastAsia" w:ascii="宋体" w:hAnsi="宋体" w:cs="宋体"/>
          <w:color w:val="auto"/>
          <w:szCs w:val="21"/>
          <w:highlight w:val="none"/>
        </w:rPr>
        <w:t>、督促承包商回访。</w:t>
      </w:r>
    </w:p>
    <w:p w14:paraId="3AAEBCEB">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19</w:t>
      </w:r>
      <w:r>
        <w:rPr>
          <w:rFonts w:hint="eastAsia" w:ascii="宋体" w:hAnsi="宋体" w:cs="宋体"/>
          <w:color w:val="auto"/>
          <w:szCs w:val="21"/>
          <w:highlight w:val="none"/>
        </w:rPr>
        <w:t>、督促承包商及时完成未完尾项，维修出现的缺陷。</w:t>
      </w:r>
    </w:p>
    <w:p w14:paraId="29A1E092">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采购人视项目的具体情况，对监理工作内容可能会有一定的修改或调整，修改或调整事项在监理委托合同中予以明确。</w:t>
      </w:r>
    </w:p>
    <w:p w14:paraId="7BD376AD">
      <w:pPr>
        <w:spacing w:line="360" w:lineRule="auto"/>
        <w:ind w:firstLine="422" w:firstLineChars="200"/>
        <w:rPr>
          <w:rFonts w:ascii="宋体" w:cs="宋体"/>
          <w:b/>
          <w:color w:val="auto"/>
          <w:szCs w:val="21"/>
          <w:highlight w:val="none"/>
        </w:rPr>
      </w:pPr>
      <w:r>
        <w:rPr>
          <w:rFonts w:hint="eastAsia" w:ascii="宋体" w:hAnsi="宋体" w:cs="宋体"/>
          <w:b/>
          <w:color w:val="auto"/>
          <w:szCs w:val="21"/>
          <w:highlight w:val="none"/>
        </w:rPr>
        <w:t>（三）监理单位的主要责任</w:t>
      </w:r>
    </w:p>
    <w:p w14:paraId="2EB40195">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施工质量责任：监理单位须承担工程施工监督检查义务，并用书面形式向采购人详细报告其监督和检查中发现的有关问题。监理应确保承包商按合同文件的要求进行施工，并努力确保施工质量达到合同约定的标准。</w:t>
      </w:r>
    </w:p>
    <w:p w14:paraId="4B95BEB9">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安全管理责任：监理单位须对承包商所提交的安全措施计划进行审核，制订一份综合安全措施计划递交采购人；施工期间，监理单位须监督承包商遵守安全措施中的各项要求；监理单位须与代表政府的安全检查部门进行合作以保证职工安全和健康条例的贯彻实施。</w:t>
      </w:r>
    </w:p>
    <w:p w14:paraId="091A51AF">
      <w:pPr>
        <w:spacing w:line="360" w:lineRule="auto"/>
        <w:ind w:firstLine="420" w:firstLineChars="200"/>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进度控制责任：监理单位为保证工程在计划完工日期内完工，须制订一份符合实际的综合性的工程进度计划，但为使该进度计划得以实施的最终权力仍由采购人控制。在进度方面监理单位与各承包商之间出现任何分歧时，监理单位负责立即以书面形式将有关的详细情况，适用的合同条款以及建议采购人应采取的行动方案告知采购人。在收到采购人的书面解释或答复之后，监理单位须迅速将其转达给承包商。</w:t>
      </w:r>
    </w:p>
    <w:p w14:paraId="1A0A9ADC">
      <w:pPr>
        <w:spacing w:line="360" w:lineRule="auto"/>
        <w:ind w:firstLine="420" w:firstLineChars="200"/>
        <w:rPr>
          <w:rFonts w:asci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、投资控制责任：承包商虚报了已完工程量，但监理单位（无论是否故意）仍然如数签发了承包商所申请的工程款而不作任何反应，则监理单位应承担工程款签发不当的责任。</w:t>
      </w:r>
    </w:p>
    <w:p w14:paraId="4DDFDD28">
      <w:pPr>
        <w:spacing w:line="360" w:lineRule="auto"/>
        <w:ind w:firstLine="422" w:firstLineChars="200"/>
        <w:rPr>
          <w:rFonts w:ascii="宋体" w:cs="宋体"/>
          <w:b/>
          <w:color w:val="auto"/>
          <w:szCs w:val="21"/>
          <w:highlight w:val="none"/>
        </w:rPr>
      </w:pPr>
      <w:r>
        <w:rPr>
          <w:rFonts w:hint="eastAsia" w:ascii="宋体" w:hAnsi="宋体" w:cs="宋体"/>
          <w:b/>
          <w:color w:val="auto"/>
          <w:szCs w:val="21"/>
          <w:highlight w:val="none"/>
        </w:rPr>
        <w:t>监理单位不得具有下列行为：</w:t>
      </w:r>
    </w:p>
    <w:p w14:paraId="2A8734CE">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、与被监理的承包单位串通，弄虚作假，降低质量标准；</w:t>
      </w:r>
    </w:p>
    <w:p w14:paraId="07651E7F">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、转让监理业务；</w:t>
      </w:r>
    </w:p>
    <w:p w14:paraId="30211AF9">
      <w:pPr>
        <w:spacing w:line="360" w:lineRule="auto"/>
        <w:ind w:firstLine="420" w:firstLineChars="200"/>
        <w:rPr>
          <w:rFonts w:ascii="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、与项目的承包单位或建筑材料、构配件和设备供应单位有隶属关系、经营性服务关系或其他利害关系，接受该建设工程承包单位的监理委托。</w:t>
      </w:r>
    </w:p>
    <w:p w14:paraId="6947B770">
      <w:pPr>
        <w:pStyle w:val="29"/>
        <w:widowControl w:val="0"/>
        <w:spacing w:before="0" w:beforeAutospacing="0" w:after="0" w:afterAutospacing="0" w:line="360" w:lineRule="auto"/>
        <w:ind w:firstLine="422" w:firstLineChars="200"/>
        <w:jc w:val="both"/>
        <w:rPr>
          <w:color w:val="auto"/>
          <w:sz w:val="21"/>
          <w:szCs w:val="21"/>
          <w:highlight w:val="none"/>
        </w:rPr>
      </w:pPr>
      <w:r>
        <w:rPr>
          <w:rFonts w:hint="eastAsia"/>
          <w:b/>
          <w:color w:val="auto"/>
          <w:kern w:val="2"/>
          <w:sz w:val="21"/>
          <w:szCs w:val="21"/>
          <w:highlight w:val="none"/>
        </w:rPr>
        <w:t>（四）监理单位的工作方法</w:t>
      </w:r>
    </w:p>
    <w:p w14:paraId="1DFE1AC7">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监理工作方法主要包括：日巡、日查、月检（考评）、现场拍照、记录等。</w:t>
      </w:r>
    </w:p>
    <w:p w14:paraId="2E87644B">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、监理人员在监理过程中，应及时做好监理日记，并保存好相关资料。当采购人及有关部门检查某项施工内容时，监理单位必须积极配合，主动提供监理日记检查部位的工程记录和相关资料；</w:t>
      </w:r>
    </w:p>
    <w:p w14:paraId="7E380389">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、监理单位和监理人员必须对所签证工程量的真实性负责，所签证的内容必须有相关记录；</w:t>
      </w:r>
    </w:p>
    <w:p w14:paraId="468F331D">
      <w:pPr>
        <w:spacing w:line="360" w:lineRule="auto"/>
        <w:ind w:firstLine="420" w:firstLineChars="200"/>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监理单位和监理人员对于施工单位上报的期间计量、设计变更和结算资料必须进行复核，保证资料的真实性和完整性，对于涉及的工程价款必须进行审核确认。工程结算经监理审核确认后上报审计、财政部门审计。</w:t>
      </w:r>
    </w:p>
    <w:p w14:paraId="691E9FBE">
      <w:pPr>
        <w:spacing w:line="360" w:lineRule="auto"/>
        <w:ind w:firstLine="420" w:firstLineChars="200"/>
        <w:rPr>
          <w:rFonts w:asci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、呈报表格必须及时送到本项目采购方及有关管理负责人，反映意见表的呈送时间不得超过合同约定的时间。</w:t>
      </w:r>
    </w:p>
    <w:p w14:paraId="5C722711">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（五）监理单位项目组及有关配备设施要求</w:t>
      </w:r>
    </w:p>
    <w:p w14:paraId="0F964DB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监理单位针对本项目应专门成立监理工作组常驻现场管理，包括但不限于：</w:t>
      </w:r>
      <w:r>
        <w:rPr>
          <w:rFonts w:hint="eastAsia" w:ascii="宋体" w:hAnsi="宋体" w:eastAsia="宋体" w:cs="宋体"/>
          <w:bCs/>
          <w:color w:val="auto"/>
          <w:szCs w:val="21"/>
          <w:highlight w:val="none"/>
          <w:u w:val="single"/>
        </w:rPr>
        <w:t>监理工作组不少于</w:t>
      </w:r>
      <w:r>
        <w:rPr>
          <w:rFonts w:hint="eastAsia" w:ascii="宋体" w:hAnsi="宋体" w:eastAsia="宋体" w:cs="宋体"/>
          <w:bCs/>
          <w:color w:val="auto"/>
          <w:szCs w:val="21"/>
          <w:highlight w:val="none"/>
          <w:u w:val="single"/>
          <w:lang w:val="en-US" w:eastAsia="zh-CN"/>
        </w:rPr>
        <w:t>4</w:t>
      </w:r>
      <w:r>
        <w:rPr>
          <w:rFonts w:hint="eastAsia" w:ascii="宋体" w:hAnsi="宋体" w:eastAsia="宋体" w:cs="宋体"/>
          <w:bCs/>
          <w:color w:val="auto"/>
          <w:szCs w:val="21"/>
          <w:highlight w:val="none"/>
          <w:u w:val="single"/>
        </w:rPr>
        <w:t>人，包括总监理工程师1名，全职在岗；</w:t>
      </w:r>
      <w:r>
        <w:rPr>
          <w:rFonts w:hint="eastAsia" w:ascii="宋体" w:hAnsi="宋体" w:eastAsia="宋体" w:cs="宋体"/>
          <w:strike w:val="0"/>
          <w:color w:val="auto"/>
          <w:highlight w:val="none"/>
          <w:u w:val="single"/>
        </w:rPr>
        <w:t>主</w:t>
      </w:r>
      <w:r>
        <w:rPr>
          <w:rFonts w:hint="eastAsia" w:ascii="宋体" w:hAnsi="宋体" w:eastAsia="宋体" w:cs="宋体"/>
          <w:color w:val="auto"/>
          <w:highlight w:val="none"/>
          <w:u w:val="single"/>
        </w:rPr>
        <w:t>专业监理工程师：1 人，为本公司正式员工，正常缴纳社会保险，专业要求：</w:t>
      </w:r>
      <w:r>
        <w:rPr>
          <w:rFonts w:hint="eastAsia" w:ascii="宋体" w:hAnsi="宋体" w:eastAsia="宋体" w:cs="宋体"/>
          <w:bCs/>
          <w:color w:val="auto"/>
          <w:szCs w:val="21"/>
          <w:highlight w:val="none"/>
          <w:u w:val="single"/>
        </w:rPr>
        <w:t>公路与城市道路工程、桥梁工程、交通工程、交通土建、土木工程（道路与桥梁方向）、公路施工与养护、道路交通管理工程、给水排水工程等相关或相近专业</w:t>
      </w:r>
      <w:r>
        <w:rPr>
          <w:rFonts w:hint="eastAsia" w:ascii="宋体" w:hAnsi="宋体" w:eastAsia="宋体" w:cs="宋体"/>
          <w:color w:val="auto"/>
          <w:szCs w:val="21"/>
          <w:highlight w:val="none"/>
          <w:u w:val="single"/>
        </w:rPr>
        <w:t>；</w:t>
      </w:r>
      <w:r>
        <w:rPr>
          <w:rFonts w:hint="eastAsia" w:ascii="宋体" w:hAnsi="宋体" w:eastAsia="宋体" w:cs="宋体"/>
          <w:color w:val="auto"/>
          <w:highlight w:val="none"/>
          <w:u w:val="single"/>
        </w:rPr>
        <w:t>注：国家注册监理工程师担任</w:t>
      </w:r>
      <w:r>
        <w:rPr>
          <w:rFonts w:hint="eastAsia" w:ascii="宋体" w:hAnsi="宋体" w:eastAsia="宋体" w:cs="宋体"/>
          <w:strike w:val="0"/>
          <w:color w:val="auto"/>
          <w:highlight w:val="none"/>
          <w:u w:val="single"/>
        </w:rPr>
        <w:t>主</w:t>
      </w:r>
      <w:r>
        <w:rPr>
          <w:rFonts w:hint="eastAsia" w:ascii="宋体" w:hAnsi="宋体" w:eastAsia="宋体" w:cs="宋体"/>
          <w:color w:val="auto"/>
          <w:highlight w:val="none"/>
          <w:u w:val="single"/>
        </w:rPr>
        <w:t>专业监理工程师的，其注册专业为</w:t>
      </w:r>
      <w:r>
        <w:rPr>
          <w:rFonts w:hint="eastAsia" w:ascii="宋体" w:hAnsi="宋体" w:eastAsia="宋体" w:cs="宋体"/>
          <w:color w:val="auto"/>
          <w:highlight w:val="none"/>
          <w:u w:val="single"/>
          <w:lang w:val="en-US" w:eastAsia="zh-CN"/>
        </w:rPr>
        <w:t>市政公用</w:t>
      </w:r>
      <w:r>
        <w:rPr>
          <w:rFonts w:hint="eastAsia" w:ascii="宋体" w:hAnsi="宋体" w:eastAsia="宋体" w:cs="宋体"/>
          <w:color w:val="auto"/>
          <w:highlight w:val="none"/>
          <w:u w:val="single"/>
        </w:rPr>
        <w:t>工程专业即可，无需提供学历专业；专业监理工程师及工程类其他注册执业资格人员担任主专业监理工程师的，专业认定以毕业证书所学专业为准；</w:t>
      </w:r>
      <w:r>
        <w:rPr>
          <w:rFonts w:hint="eastAsia" w:ascii="宋体" w:hAnsi="宋体" w:eastAsia="宋体" w:cs="宋体"/>
          <w:bCs/>
          <w:color w:val="auto"/>
          <w:szCs w:val="21"/>
          <w:highlight w:val="none"/>
          <w:u w:val="single"/>
        </w:rPr>
        <w:t>监理员</w:t>
      </w:r>
      <w:r>
        <w:rPr>
          <w:rFonts w:hint="eastAsia" w:ascii="宋体" w:hAnsi="宋体" w:eastAsia="宋体" w:cs="宋体"/>
          <w:bCs/>
          <w:color w:val="auto"/>
          <w:szCs w:val="21"/>
          <w:highlight w:val="none"/>
          <w:u w:val="single"/>
          <w:lang w:val="en-US" w:eastAsia="zh-CN"/>
        </w:rPr>
        <w:t>2</w:t>
      </w:r>
      <w:r>
        <w:rPr>
          <w:rFonts w:hint="eastAsia" w:ascii="宋体" w:hAnsi="宋体" w:eastAsia="宋体" w:cs="宋体"/>
          <w:bCs/>
          <w:color w:val="auto"/>
          <w:szCs w:val="21"/>
          <w:highlight w:val="none"/>
          <w:u w:val="single"/>
        </w:rPr>
        <w:t>名，全职在岗；</w:t>
      </w:r>
      <w:r>
        <w:rPr>
          <w:rFonts w:hint="eastAsia" w:ascii="宋体" w:hAnsi="宋体" w:eastAsia="宋体" w:cs="宋体"/>
          <w:color w:val="auto"/>
          <w:szCs w:val="21"/>
          <w:highlight w:val="none"/>
        </w:rPr>
        <w:t>配备服务项目所需的检测设备及办公设备。施工单位免费向监理单位提供办公用房一间。</w:t>
      </w:r>
    </w:p>
    <w:p w14:paraId="73741642">
      <w:pPr>
        <w:spacing w:line="360" w:lineRule="auto"/>
        <w:ind w:firstLine="422" w:firstLineChars="200"/>
        <w:rPr>
          <w:rFonts w:ascii="宋体" w:cs="宋体"/>
          <w:b/>
          <w:color w:val="auto"/>
          <w:kern w:val="0"/>
          <w:szCs w:val="21"/>
          <w:highlight w:val="none"/>
        </w:rPr>
      </w:pPr>
      <w:r>
        <w:rPr>
          <w:rFonts w:hint="eastAsia" w:ascii="宋体" w:hAnsi="宋体" w:cs="宋体"/>
          <w:b/>
          <w:color w:val="auto"/>
          <w:szCs w:val="21"/>
          <w:highlight w:val="none"/>
          <w:lang w:val="zh-CN"/>
        </w:rPr>
        <w:t>（六）</w:t>
      </w:r>
      <w:r>
        <w:rPr>
          <w:rFonts w:hint="eastAsia" w:ascii="宋体" w:hAnsi="宋体" w:cs="宋体"/>
          <w:b/>
          <w:color w:val="auto"/>
          <w:kern w:val="0"/>
          <w:szCs w:val="21"/>
          <w:highlight w:val="none"/>
        </w:rPr>
        <w:t>工作协调</w:t>
      </w:r>
    </w:p>
    <w:p w14:paraId="12CF92FC">
      <w:pPr>
        <w:autoSpaceDE w:val="0"/>
        <w:autoSpaceDN w:val="0"/>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接受采购人委托，负责协调本项目所涉及的各单位之间的工作关系，并协调解决项目过程中的各类纠纷及安全事故的协调处理。</w:t>
      </w:r>
    </w:p>
    <w:p w14:paraId="4A26B37D">
      <w:pPr>
        <w:spacing w:line="360" w:lineRule="auto"/>
        <w:ind w:firstLine="422" w:firstLineChars="200"/>
        <w:rPr>
          <w:rFonts w:ascii="宋体" w:cs="宋体"/>
          <w:b/>
          <w:color w:val="auto"/>
          <w:kern w:val="0"/>
          <w:szCs w:val="21"/>
          <w:highlight w:val="none"/>
        </w:rPr>
      </w:pPr>
      <w:r>
        <w:rPr>
          <w:rFonts w:hint="eastAsia" w:ascii="宋体" w:hAnsi="宋体" w:cs="宋体"/>
          <w:b/>
          <w:color w:val="auto"/>
          <w:kern w:val="0"/>
          <w:szCs w:val="21"/>
          <w:highlight w:val="none"/>
        </w:rPr>
        <w:t>（七）监理服务准则要求</w:t>
      </w:r>
    </w:p>
    <w:p w14:paraId="5233B987">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rPr>
        <w:t>、维护国家的荣誉和利益，按照“守法、诚信、公正、科学”的准则执业。</w:t>
      </w:r>
    </w:p>
    <w:p w14:paraId="62CDD850">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、执行有关项目建设的法律、法规、规范、标准和制度，履行监理合同规定的义务和职责。</w:t>
      </w:r>
    </w:p>
    <w:p w14:paraId="0A33D030">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、不收受被监理单位的任何礼金等。</w:t>
      </w:r>
    </w:p>
    <w:p w14:paraId="006FE6BA">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、不泄漏所监理项目各方认为需要保密的事项。</w:t>
      </w:r>
    </w:p>
    <w:p w14:paraId="0402358B">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5</w:t>
      </w:r>
      <w:r>
        <w:rPr>
          <w:rFonts w:hint="eastAsia" w:ascii="宋体" w:hAnsi="宋体" w:cs="宋体"/>
          <w:color w:val="auto"/>
          <w:kern w:val="0"/>
          <w:szCs w:val="21"/>
          <w:highlight w:val="none"/>
        </w:rPr>
        <w:t>、遵守国家的法律和政府的有关条例、规定和办法等。</w:t>
      </w:r>
    </w:p>
    <w:p w14:paraId="1DB8680B">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6</w:t>
      </w:r>
      <w:r>
        <w:rPr>
          <w:rFonts w:hint="eastAsia" w:ascii="宋体" w:hAnsi="宋体" w:cs="宋体"/>
          <w:color w:val="auto"/>
          <w:kern w:val="0"/>
          <w:szCs w:val="21"/>
          <w:highlight w:val="none"/>
        </w:rPr>
        <w:t>、认真履行项目建设监理合同所承诺的义务和承担约定的责任。</w:t>
      </w:r>
    </w:p>
    <w:p w14:paraId="2BB38466">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7</w:t>
      </w:r>
      <w:r>
        <w:rPr>
          <w:rFonts w:hint="eastAsia" w:ascii="宋体" w:hAnsi="宋体" w:cs="宋体"/>
          <w:color w:val="auto"/>
          <w:kern w:val="0"/>
          <w:szCs w:val="21"/>
          <w:highlight w:val="none"/>
        </w:rPr>
        <w:t>、坚持公正的立场，公平地处理有关各方的争议。</w:t>
      </w:r>
    </w:p>
    <w:p w14:paraId="1EF3613C">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8</w:t>
      </w:r>
      <w:r>
        <w:rPr>
          <w:rFonts w:hint="eastAsia" w:ascii="宋体" w:hAnsi="宋体" w:cs="宋体"/>
          <w:color w:val="auto"/>
          <w:kern w:val="0"/>
          <w:szCs w:val="21"/>
          <w:highlight w:val="none"/>
        </w:rPr>
        <w:t>、坚持科学的态度和实事求是的原则。</w:t>
      </w:r>
    </w:p>
    <w:p w14:paraId="7B92A032">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9</w:t>
      </w:r>
      <w:r>
        <w:rPr>
          <w:rFonts w:hint="eastAsia" w:ascii="宋体" w:hAnsi="宋体" w:cs="宋体"/>
          <w:color w:val="auto"/>
          <w:kern w:val="0"/>
          <w:szCs w:val="21"/>
          <w:highlight w:val="none"/>
        </w:rPr>
        <w:t>、在坚持按监理合同的规定向采购单位提供技术服务的同时，帮助被监理者完成其担负的建设任务。</w:t>
      </w:r>
    </w:p>
    <w:p w14:paraId="275487BC">
      <w:pPr>
        <w:pStyle w:val="29"/>
        <w:widowControl w:val="0"/>
        <w:tabs>
          <w:tab w:val="left" w:pos="425"/>
        </w:tabs>
        <w:spacing w:before="0" w:beforeAutospacing="0" w:after="0" w:afterAutospacing="0" w:line="360" w:lineRule="auto"/>
        <w:ind w:firstLine="398" w:firstLineChars="200"/>
        <w:jc w:val="both"/>
        <w:rPr>
          <w:color w:val="auto"/>
          <w:spacing w:val="-6"/>
          <w:sz w:val="21"/>
          <w:szCs w:val="21"/>
          <w:highlight w:val="none"/>
        </w:rPr>
      </w:pPr>
      <w:r>
        <w:rPr>
          <w:rFonts w:hint="eastAsia"/>
          <w:b/>
          <w:color w:val="auto"/>
          <w:spacing w:val="-6"/>
          <w:sz w:val="21"/>
          <w:szCs w:val="21"/>
          <w:highlight w:val="none"/>
        </w:rPr>
        <w:t>（八）服务期限：</w:t>
      </w:r>
      <w:r>
        <w:rPr>
          <w:rFonts w:hint="eastAsia"/>
          <w:color w:val="auto"/>
          <w:spacing w:val="-6"/>
          <w:kern w:val="2"/>
          <w:sz w:val="21"/>
          <w:szCs w:val="21"/>
          <w:highlight w:val="none"/>
          <w:lang w:val="zh-CN"/>
        </w:rPr>
        <w:t>从签订监理合同之日起，至所有项目验收并通过审计直至</w:t>
      </w:r>
      <w:r>
        <w:rPr>
          <w:rFonts w:hint="eastAsia"/>
          <w:color w:val="auto"/>
          <w:sz w:val="21"/>
          <w:szCs w:val="21"/>
          <w:highlight w:val="none"/>
        </w:rPr>
        <w:t>缺陷服务期、保修及养护期满</w:t>
      </w:r>
      <w:r>
        <w:rPr>
          <w:rFonts w:hint="eastAsia"/>
          <w:color w:val="auto"/>
          <w:spacing w:val="-6"/>
          <w:kern w:val="2"/>
          <w:sz w:val="21"/>
          <w:szCs w:val="21"/>
          <w:highlight w:val="none"/>
          <w:lang w:val="zh-CN"/>
        </w:rPr>
        <w:t>。</w:t>
      </w:r>
      <w:r>
        <w:rPr>
          <w:rFonts w:hint="eastAsia"/>
          <w:color w:val="auto"/>
          <w:spacing w:val="-6"/>
          <w:sz w:val="21"/>
          <w:szCs w:val="21"/>
          <w:highlight w:val="none"/>
        </w:rPr>
        <w:t>履行合同的过程中，确因在现有水平和条件下难以克服的技术困难，导致部分或全部失败所造成的损失，风险责任由成交供应商全部承担。</w:t>
      </w:r>
    </w:p>
    <w:p w14:paraId="38FDEF94">
      <w:pPr>
        <w:autoSpaceDE w:val="0"/>
        <w:autoSpaceDN w:val="0"/>
        <w:spacing w:line="360" w:lineRule="auto"/>
        <w:ind w:firstLine="422" w:firstLineChars="200"/>
        <w:rPr>
          <w:rFonts w:ascii="宋体" w:cs="仿宋_GB2312"/>
          <w:color w:val="auto"/>
          <w:szCs w:val="21"/>
          <w:highlight w:val="none"/>
        </w:rPr>
      </w:pPr>
      <w:r>
        <w:rPr>
          <w:rFonts w:hint="eastAsia" w:ascii="宋体" w:hAnsi="宋体" w:cs="仿宋_GB2312"/>
          <w:b/>
          <w:color w:val="auto"/>
          <w:szCs w:val="21"/>
          <w:highlight w:val="none"/>
        </w:rPr>
        <w:t>（九）其它要求：</w:t>
      </w:r>
    </w:p>
    <w:p w14:paraId="477F6677">
      <w:pPr>
        <w:pStyle w:val="79"/>
        <w:widowControl/>
        <w:adjustRightInd/>
        <w:spacing w:line="360" w:lineRule="auto"/>
        <w:ind w:firstLine="420" w:firstLineChars="200"/>
        <w:rPr>
          <w:rFonts w:hAnsi="宋体" w:eastAsia="宋体"/>
          <w:color w:val="auto"/>
          <w:sz w:val="21"/>
          <w:szCs w:val="21"/>
          <w:highlight w:val="none"/>
        </w:rPr>
      </w:pPr>
      <w:r>
        <w:rPr>
          <w:rFonts w:hAnsi="宋体" w:eastAsia="宋体"/>
          <w:color w:val="auto"/>
          <w:sz w:val="21"/>
          <w:szCs w:val="21"/>
          <w:highlight w:val="none"/>
        </w:rPr>
        <w:t>1</w:t>
      </w:r>
      <w:r>
        <w:rPr>
          <w:rFonts w:hint="eastAsia" w:hAnsi="宋体" w:eastAsia="宋体"/>
          <w:color w:val="auto"/>
          <w:sz w:val="21"/>
          <w:szCs w:val="21"/>
          <w:highlight w:val="none"/>
        </w:rPr>
        <w:t>、成交供应商应对所投项目的全部内容进行报价，只投其中部分内容者，其响应文件将被拒绝。</w:t>
      </w:r>
    </w:p>
    <w:p w14:paraId="11799930">
      <w:pPr>
        <w:pStyle w:val="79"/>
        <w:widowControl/>
        <w:adjustRightInd/>
        <w:spacing w:line="360" w:lineRule="auto"/>
        <w:ind w:firstLine="420" w:firstLineChars="200"/>
        <w:rPr>
          <w:rFonts w:hAnsi="宋体" w:eastAsia="宋体"/>
          <w:color w:val="auto"/>
          <w:sz w:val="21"/>
          <w:szCs w:val="21"/>
          <w:highlight w:val="none"/>
        </w:rPr>
      </w:pPr>
      <w:r>
        <w:rPr>
          <w:rFonts w:hAnsi="宋体" w:eastAsia="宋体"/>
          <w:color w:val="auto"/>
          <w:sz w:val="21"/>
          <w:szCs w:val="21"/>
          <w:highlight w:val="none"/>
        </w:rPr>
        <w:t>2</w:t>
      </w:r>
      <w:r>
        <w:rPr>
          <w:rFonts w:hint="eastAsia" w:hAnsi="宋体" w:eastAsia="宋体"/>
          <w:color w:val="auto"/>
          <w:sz w:val="21"/>
          <w:szCs w:val="21"/>
          <w:highlight w:val="none"/>
        </w:rPr>
        <w:t>、成交供应商对服务缺陷不予更正，采购人有权另请其他供应商更正，所发生的费用在剩余服务费用中扣除。</w:t>
      </w:r>
    </w:p>
    <w:p w14:paraId="18EDAE38">
      <w:pPr>
        <w:pStyle w:val="79"/>
        <w:widowControl/>
        <w:adjustRightInd/>
        <w:spacing w:line="360" w:lineRule="auto"/>
        <w:ind w:firstLine="420" w:firstLineChars="200"/>
        <w:rPr>
          <w:rFonts w:hAnsi="宋体" w:eastAsia="宋体"/>
          <w:color w:val="auto"/>
          <w:sz w:val="21"/>
          <w:szCs w:val="21"/>
          <w:highlight w:val="none"/>
        </w:rPr>
      </w:pPr>
      <w:r>
        <w:rPr>
          <w:rFonts w:hAnsi="宋体" w:eastAsia="宋体"/>
          <w:color w:val="auto"/>
          <w:sz w:val="21"/>
          <w:szCs w:val="21"/>
          <w:highlight w:val="none"/>
        </w:rPr>
        <w:t>3</w:t>
      </w:r>
      <w:r>
        <w:rPr>
          <w:rFonts w:hint="eastAsia" w:hAnsi="宋体" w:eastAsia="宋体"/>
          <w:color w:val="auto"/>
          <w:sz w:val="21"/>
          <w:szCs w:val="21"/>
          <w:highlight w:val="none"/>
        </w:rPr>
        <w:t>、成交供应商须按照采购人的要求对该采购项目进行服务工作。成交供应商如出现重大责任问题，采购人有权取消其成交资格。</w:t>
      </w:r>
    </w:p>
    <w:p w14:paraId="58A44553">
      <w:pPr>
        <w:pStyle w:val="21"/>
        <w:spacing w:line="360" w:lineRule="auto"/>
        <w:ind w:firstLine="420" w:firstLineChars="200"/>
        <w:rPr>
          <w:rFonts w:hint="eastAsia" w:ascii="宋体" w:hAnsi="宋体" w:eastAsia="宋体" w:cs="宋体"/>
          <w:color w:val="auto"/>
          <w:sz w:val="21"/>
          <w:highlight w:val="none"/>
        </w:rPr>
      </w:pPr>
    </w:p>
    <w:p w14:paraId="23E6D8A4">
      <w:pPr>
        <w:spacing w:beforeLines="50" w:afterLines="50"/>
        <w:jc w:val="center"/>
        <w:outlineLvl w:val="0"/>
        <w:rPr>
          <w:rFonts w:hint="eastAsia" w:ascii="宋体" w:hAnsi="宋体" w:eastAsia="宋体" w:cs="宋体"/>
          <w:b/>
          <w:color w:val="auto"/>
          <w:szCs w:val="21"/>
          <w:highlight w:val="none"/>
        </w:rPr>
      </w:pPr>
    </w:p>
    <w:p w14:paraId="7F76E392">
      <w:pPr>
        <w:spacing w:beforeLines="50" w:afterLines="50"/>
        <w:jc w:val="center"/>
        <w:outlineLvl w:val="0"/>
        <w:rPr>
          <w:rFonts w:hint="eastAsia" w:ascii="宋体" w:hAnsi="宋体" w:eastAsia="宋体" w:cs="宋体"/>
          <w:b/>
          <w:color w:val="auto"/>
          <w:sz w:val="28"/>
          <w:szCs w:val="28"/>
          <w:highlight w:val="none"/>
        </w:rPr>
      </w:pPr>
    </w:p>
    <w:p w14:paraId="1538993A">
      <w:pPr>
        <w:pStyle w:val="2"/>
        <w:rPr>
          <w:rFonts w:hint="eastAsia" w:ascii="宋体" w:hAnsi="宋体" w:eastAsia="宋体" w:cs="宋体"/>
          <w:b/>
          <w:color w:val="auto"/>
          <w:sz w:val="28"/>
          <w:szCs w:val="28"/>
          <w:highlight w:val="none"/>
        </w:rPr>
      </w:pPr>
    </w:p>
    <w:p w14:paraId="0C5FDD6E">
      <w:pPr>
        <w:pStyle w:val="4"/>
        <w:rPr>
          <w:rFonts w:hint="eastAsia" w:ascii="宋体" w:hAnsi="宋体" w:eastAsia="宋体" w:cs="宋体"/>
          <w:b/>
          <w:color w:val="auto"/>
          <w:sz w:val="28"/>
          <w:szCs w:val="28"/>
          <w:highlight w:val="none"/>
        </w:rPr>
      </w:pPr>
    </w:p>
    <w:p w14:paraId="2265F179">
      <w:pPr>
        <w:pStyle w:val="5"/>
        <w:rPr>
          <w:rFonts w:hint="eastAsia" w:ascii="宋体" w:hAnsi="宋体" w:eastAsia="宋体" w:cs="宋体"/>
          <w:b/>
          <w:color w:val="auto"/>
          <w:sz w:val="28"/>
          <w:szCs w:val="28"/>
          <w:highlight w:val="none"/>
        </w:rPr>
      </w:pPr>
    </w:p>
    <w:p w14:paraId="1BAB600F">
      <w:pPr>
        <w:pStyle w:val="6"/>
        <w:rPr>
          <w:rFonts w:hint="eastAsia" w:ascii="宋体" w:hAnsi="宋体" w:eastAsia="宋体" w:cs="宋体"/>
          <w:b/>
          <w:color w:val="auto"/>
          <w:sz w:val="28"/>
          <w:szCs w:val="28"/>
          <w:highlight w:val="none"/>
        </w:rPr>
      </w:pPr>
    </w:p>
    <w:p w14:paraId="00F11E00">
      <w:pPr>
        <w:pStyle w:val="7"/>
        <w:rPr>
          <w:rFonts w:hint="eastAsia" w:ascii="宋体" w:hAnsi="宋体" w:eastAsia="宋体" w:cs="宋体"/>
          <w:b/>
          <w:color w:val="auto"/>
          <w:sz w:val="28"/>
          <w:szCs w:val="28"/>
          <w:highlight w:val="none"/>
        </w:rPr>
      </w:pPr>
    </w:p>
    <w:p w14:paraId="751120C4">
      <w:pPr>
        <w:pStyle w:val="8"/>
        <w:rPr>
          <w:rFonts w:hint="eastAsia" w:ascii="宋体" w:hAnsi="宋体" w:eastAsia="宋体" w:cs="宋体"/>
          <w:b/>
          <w:color w:val="auto"/>
          <w:sz w:val="28"/>
          <w:szCs w:val="28"/>
          <w:highlight w:val="none"/>
        </w:rPr>
      </w:pPr>
    </w:p>
    <w:p w14:paraId="7B8F85DB">
      <w:pPr>
        <w:pStyle w:val="9"/>
        <w:rPr>
          <w:rFonts w:hint="eastAsia" w:ascii="宋体" w:hAnsi="宋体" w:eastAsia="宋体" w:cs="宋体"/>
          <w:b/>
          <w:color w:val="auto"/>
          <w:sz w:val="28"/>
          <w:szCs w:val="28"/>
          <w:highlight w:val="none"/>
        </w:rPr>
      </w:pPr>
    </w:p>
    <w:p w14:paraId="0EB5C937">
      <w:pPr>
        <w:pStyle w:val="10"/>
        <w:rPr>
          <w:rFonts w:hint="eastAsia" w:ascii="宋体" w:hAnsi="宋体" w:eastAsia="宋体" w:cs="宋体"/>
          <w:b/>
          <w:color w:val="auto"/>
          <w:sz w:val="28"/>
          <w:szCs w:val="28"/>
          <w:highlight w:val="none"/>
        </w:rPr>
      </w:pPr>
    </w:p>
    <w:p w14:paraId="02C93275">
      <w:pPr>
        <w:rPr>
          <w:rFonts w:hint="eastAsia" w:ascii="宋体" w:hAnsi="宋体" w:eastAsia="宋体" w:cs="宋体"/>
          <w:color w:val="auto"/>
          <w:highlight w:val="none"/>
        </w:rPr>
      </w:pPr>
    </w:p>
    <w:p w14:paraId="227B15A8">
      <w:pPr>
        <w:pStyle w:val="8"/>
        <w:rPr>
          <w:rFonts w:hint="eastAsia" w:ascii="宋体" w:hAnsi="宋体" w:eastAsia="宋体" w:cs="宋体"/>
          <w:color w:val="auto"/>
          <w:highlight w:val="none"/>
        </w:rPr>
      </w:pPr>
    </w:p>
    <w:bookmarkEnd w:id="145"/>
    <w:p w14:paraId="1A14EC0A">
      <w:pPr>
        <w:widowControl/>
        <w:jc w:val="center"/>
        <w:rPr>
          <w:rFonts w:hint="eastAsia" w:ascii="宋体" w:hAnsi="宋体" w:eastAsia="宋体" w:cs="宋体"/>
          <w:b/>
          <w:bCs/>
          <w:color w:val="auto"/>
          <w:sz w:val="36"/>
          <w:highlight w:val="none"/>
        </w:rPr>
      </w:pPr>
      <w:bookmarkStart w:id="155" w:name="_Toc528836794"/>
      <w:bookmarkStart w:id="156" w:name="_Toc503874597"/>
      <w:bookmarkStart w:id="157" w:name="_Toc508646227"/>
      <w:r>
        <w:rPr>
          <w:rFonts w:hint="eastAsia" w:ascii="宋体" w:hAnsi="宋体" w:eastAsia="宋体" w:cs="宋体"/>
          <w:b/>
          <w:bCs/>
          <w:color w:val="auto"/>
          <w:sz w:val="36"/>
          <w:highlight w:val="none"/>
        </w:rPr>
        <w:t>第五章 评审方法和评审标准</w:t>
      </w:r>
    </w:p>
    <w:p w14:paraId="48E09462">
      <w:pPr>
        <w:pStyle w:val="28"/>
        <w:spacing w:before="0" w:after="0" w:line="480" w:lineRule="auto"/>
        <w:jc w:val="both"/>
        <w:rPr>
          <w:rFonts w:hint="eastAsia" w:ascii="宋体" w:hAnsi="宋体" w:eastAsia="宋体" w:cs="宋体"/>
          <w:bCs w:val="0"/>
          <w:color w:val="auto"/>
          <w:kern w:val="2"/>
          <w:sz w:val="21"/>
          <w:szCs w:val="21"/>
          <w:highlight w:val="none"/>
        </w:rPr>
      </w:pPr>
      <w:r>
        <w:rPr>
          <w:rFonts w:hint="eastAsia" w:ascii="宋体" w:hAnsi="宋体" w:eastAsia="宋体" w:cs="宋体"/>
          <w:bCs w:val="0"/>
          <w:color w:val="auto"/>
          <w:kern w:val="2"/>
          <w:sz w:val="21"/>
          <w:szCs w:val="21"/>
          <w:highlight w:val="none"/>
        </w:rPr>
        <w:t>一、评标方法</w:t>
      </w:r>
      <w:bookmarkEnd w:id="155"/>
      <w:bookmarkEnd w:id="156"/>
      <w:bookmarkEnd w:id="157"/>
    </w:p>
    <w:p w14:paraId="659E60C6">
      <w:pPr>
        <w:pStyle w:val="66"/>
        <w:spacing w:before="0" w:after="0" w:line="400" w:lineRule="exact"/>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项目采用综合评分法，评委会将对确定为实质性响应采购文件要求的响应文件进行评价和比较。评审结果按综合得分由高到低顺序排列。得分相同的，按报价由低到高顺序排列。得分且报价相同的并列，响应文件满足采购文件全部实质性要求，且按照评审因素的量化指标评审得分最高的投标人为排名第一的成交候选人。</w:t>
      </w:r>
    </w:p>
    <w:p w14:paraId="7537B16F">
      <w:pPr>
        <w:pStyle w:val="66"/>
        <w:spacing w:before="0" w:after="0" w:line="400" w:lineRule="exact"/>
        <w:ind w:firstLine="0"/>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lang w:val="en-US" w:eastAsia="zh-CN"/>
        </w:rPr>
        <w:t>二</w:t>
      </w:r>
      <w:r>
        <w:rPr>
          <w:rFonts w:hint="eastAsia" w:ascii="宋体" w:hAnsi="宋体" w:eastAsia="宋体" w:cs="宋体"/>
          <w:b/>
          <w:color w:val="auto"/>
          <w:kern w:val="2"/>
          <w:sz w:val="21"/>
          <w:szCs w:val="21"/>
          <w:highlight w:val="none"/>
        </w:rPr>
        <w:t>、评标标准</w:t>
      </w:r>
    </w:p>
    <w:tbl>
      <w:tblPr>
        <w:tblStyle w:val="33"/>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1680"/>
        <w:gridCol w:w="6873"/>
      </w:tblGrid>
      <w:tr w14:paraId="27EFE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6" w:type="dxa"/>
            <w:vAlign w:val="center"/>
          </w:tcPr>
          <w:p w14:paraId="59E99DD6">
            <w:pPr>
              <w:keepNext w:val="0"/>
              <w:keepLines w:val="0"/>
              <w:pageBreakBefore w:val="0"/>
              <w:kinsoku/>
              <w:overflowPunct/>
              <w:topLinePunct w:val="0"/>
              <w:bidi w:val="0"/>
              <w:snapToGrid/>
              <w:spacing w:line="4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项目</w:t>
            </w:r>
          </w:p>
        </w:tc>
        <w:tc>
          <w:tcPr>
            <w:tcW w:w="8553" w:type="dxa"/>
            <w:gridSpan w:val="2"/>
            <w:vAlign w:val="center"/>
          </w:tcPr>
          <w:p w14:paraId="188C93A9">
            <w:pPr>
              <w:keepNext w:val="0"/>
              <w:keepLines w:val="0"/>
              <w:pageBreakBefore w:val="0"/>
              <w:kinsoku/>
              <w:overflowPunct/>
              <w:topLinePunct w:val="0"/>
              <w:bidi w:val="0"/>
              <w:snapToGrid/>
              <w:spacing w:line="4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评审内容</w:t>
            </w:r>
          </w:p>
        </w:tc>
      </w:tr>
      <w:tr w14:paraId="6909B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86" w:type="dxa"/>
            <w:vAlign w:val="center"/>
          </w:tcPr>
          <w:p w14:paraId="45B74C92">
            <w:pPr>
              <w:keepNext w:val="0"/>
              <w:keepLines w:val="0"/>
              <w:pageBreakBefore w:val="0"/>
              <w:kinsoku/>
              <w:overflowPunct/>
              <w:topLinePunct w:val="0"/>
              <w:bidi w:val="0"/>
              <w:adjustRightInd w:val="0"/>
              <w:snapToGrid/>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w:t>
            </w:r>
          </w:p>
          <w:p w14:paraId="0F06DE7F">
            <w:pPr>
              <w:keepNext w:val="0"/>
              <w:keepLines w:val="0"/>
              <w:pageBreakBefore w:val="0"/>
              <w:kinsoku/>
              <w:overflowPunct/>
              <w:topLinePunct w:val="0"/>
              <w:bidi w:val="0"/>
              <w:adjustRightInd w:val="0"/>
              <w:snapToGrid/>
              <w:spacing w:line="400" w:lineRule="exact"/>
              <w:jc w:val="center"/>
              <w:textAlignment w:val="baseline"/>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rPr>
              <w:t>分</w:t>
            </w:r>
          </w:p>
        </w:tc>
        <w:tc>
          <w:tcPr>
            <w:tcW w:w="8553" w:type="dxa"/>
            <w:gridSpan w:val="2"/>
            <w:vAlign w:val="center"/>
          </w:tcPr>
          <w:p w14:paraId="464801CB">
            <w:pPr>
              <w:keepNext w:val="0"/>
              <w:keepLines w:val="0"/>
              <w:pageBreakBefore w:val="0"/>
              <w:kinsoku/>
              <w:overflowPunct/>
              <w:topLinePunct w:val="0"/>
              <w:bidi w:val="0"/>
              <w:adjustRightInd w:val="0"/>
              <w:snapToGrid/>
              <w:spacing w:line="400" w:lineRule="exac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以满足磋商文件要求且最终报价最低的价格为磋商基准价，得满分</w:t>
            </w: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rPr>
              <w:t>分。</w:t>
            </w:r>
          </w:p>
          <w:p w14:paraId="3DF56A9B">
            <w:pPr>
              <w:keepNext w:val="0"/>
              <w:keepLines w:val="0"/>
              <w:pageBreakBefore w:val="0"/>
              <w:kinsoku/>
              <w:overflowPunct/>
              <w:topLinePunct w:val="0"/>
              <w:bidi w:val="0"/>
              <w:adjustRightInd w:val="0"/>
              <w:snapToGrid/>
              <w:spacing w:line="400" w:lineRule="exact"/>
              <w:textAlignment w:val="baseline"/>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其他磋商报价得分=（磋商基准价/其他最后磋商报价）×</w:t>
            </w:r>
            <w:r>
              <w:rPr>
                <w:rFonts w:hint="eastAsia" w:ascii="宋体" w:hAnsi="宋体" w:cs="宋体"/>
                <w:color w:val="auto"/>
                <w:spacing w:val="-6"/>
                <w:szCs w:val="21"/>
                <w:highlight w:val="none"/>
                <w:lang w:val="en-US" w:eastAsia="zh-CN"/>
              </w:rPr>
              <w:t>20</w:t>
            </w:r>
            <w:r>
              <w:rPr>
                <w:rFonts w:hint="eastAsia" w:ascii="宋体" w:hAnsi="宋体" w:eastAsia="宋体" w:cs="宋体"/>
                <w:color w:val="auto"/>
                <w:spacing w:val="-6"/>
                <w:szCs w:val="21"/>
                <w:highlight w:val="none"/>
              </w:rPr>
              <w:t>×100%（四舍五入，保留2位小数）</w:t>
            </w:r>
          </w:p>
        </w:tc>
      </w:tr>
      <w:tr w14:paraId="166B2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86" w:type="dxa"/>
            <w:vMerge w:val="restart"/>
            <w:vAlign w:val="center"/>
          </w:tcPr>
          <w:p w14:paraId="7850CE05">
            <w:pPr>
              <w:keepNext w:val="0"/>
              <w:keepLines w:val="0"/>
              <w:pageBreakBefore w:val="0"/>
              <w:kinsoku/>
              <w:overflowPunct/>
              <w:topLinePunct w:val="0"/>
              <w:bidi w:val="0"/>
              <w:adjustRightInd w:val="0"/>
              <w:snapToGrid/>
              <w:spacing w:line="400" w:lineRule="exact"/>
              <w:ind w:firstLine="0" w:firstLineChars="0"/>
              <w:jc w:val="both"/>
              <w:textAlignment w:val="baseline"/>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监理方案</w:t>
            </w:r>
          </w:p>
          <w:p w14:paraId="39D31FE5">
            <w:pPr>
              <w:pStyle w:val="2"/>
              <w:keepNext w:val="0"/>
              <w:keepLines w:val="0"/>
              <w:pageBreakBefore w:val="0"/>
              <w:kinsoku/>
              <w:overflowPunct/>
              <w:topLinePunct w:val="0"/>
              <w:bidi w:val="0"/>
              <w:snapToGrid/>
              <w:spacing w:line="400" w:lineRule="exact"/>
              <w:ind w:firstLine="210" w:firstLineChars="100"/>
              <w:rPr>
                <w:rFonts w:hint="default"/>
                <w:color w:val="auto"/>
                <w:highlight w:val="none"/>
                <w:lang w:val="en-US" w:eastAsia="zh-CN"/>
              </w:rPr>
            </w:pPr>
            <w:r>
              <w:rPr>
                <w:rFonts w:hint="eastAsia" w:cs="宋体"/>
                <w:color w:val="auto"/>
                <w:szCs w:val="21"/>
                <w:highlight w:val="none"/>
                <w:lang w:val="en-US" w:eastAsia="zh-CN"/>
              </w:rPr>
              <w:t>35分</w:t>
            </w:r>
          </w:p>
        </w:tc>
        <w:tc>
          <w:tcPr>
            <w:tcW w:w="1680" w:type="dxa"/>
            <w:vAlign w:val="center"/>
          </w:tcPr>
          <w:p w14:paraId="3D300007">
            <w:pPr>
              <w:adjustRightInd w:val="0"/>
              <w:spacing w:line="400" w:lineRule="exact"/>
              <w:jc w:val="center"/>
              <w:textAlignment w:val="baseline"/>
              <w:rPr>
                <w:rFonts w:ascii="宋体" w:cs="宋体"/>
                <w:color w:val="auto"/>
                <w:szCs w:val="21"/>
                <w:highlight w:val="none"/>
              </w:rPr>
            </w:pPr>
            <w:r>
              <w:rPr>
                <w:rFonts w:hint="eastAsia" w:ascii="宋体" w:hAnsi="宋体" w:cs="宋体"/>
                <w:color w:val="auto"/>
                <w:szCs w:val="21"/>
                <w:highlight w:val="none"/>
              </w:rPr>
              <w:t>监理大纲</w:t>
            </w:r>
          </w:p>
          <w:p w14:paraId="335CA9D2">
            <w:pPr>
              <w:keepNext w:val="0"/>
              <w:keepLines w:val="0"/>
              <w:pageBreakBefore w:val="0"/>
              <w:kinsoku/>
              <w:overflowPunct/>
              <w:topLinePunct w:val="0"/>
              <w:bidi w:val="0"/>
              <w:adjustRightInd w:val="0"/>
              <w:snapToGrid/>
              <w:spacing w:line="400" w:lineRule="exact"/>
              <w:jc w:val="center"/>
              <w:textAlignment w:val="baseline"/>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tc>
        <w:tc>
          <w:tcPr>
            <w:tcW w:w="6873" w:type="dxa"/>
            <w:vAlign w:val="center"/>
          </w:tcPr>
          <w:p w14:paraId="5FDE3F3B">
            <w:pPr>
              <w:adjustRightInd w:val="0"/>
              <w:spacing w:line="400" w:lineRule="exact"/>
              <w:textAlignment w:val="baseline"/>
              <w:rPr>
                <w:rFonts w:ascii="宋体" w:cs="宋体"/>
                <w:color w:val="auto"/>
                <w:spacing w:val="0"/>
                <w:szCs w:val="21"/>
                <w:highlight w:val="none"/>
              </w:rPr>
            </w:pPr>
            <w:r>
              <w:rPr>
                <w:rFonts w:hint="eastAsia" w:ascii="宋体" w:hAnsi="宋体" w:cs="宋体"/>
                <w:color w:val="auto"/>
                <w:spacing w:val="0"/>
                <w:szCs w:val="21"/>
                <w:highlight w:val="none"/>
              </w:rPr>
              <w:t>监理大纲</w:t>
            </w:r>
            <w:r>
              <w:rPr>
                <w:rFonts w:hint="eastAsia" w:ascii="宋体" w:hAnsi="宋体" w:cs="宋体"/>
                <w:color w:val="auto"/>
                <w:spacing w:val="0"/>
                <w:szCs w:val="21"/>
                <w:highlight w:val="none"/>
                <w:lang w:val="en-US" w:eastAsia="zh-CN"/>
              </w:rPr>
              <w:t>内容齐全、结构完整</w:t>
            </w:r>
            <w:r>
              <w:rPr>
                <w:rFonts w:hint="eastAsia" w:ascii="宋体" w:hAnsi="宋体" w:cs="宋体"/>
                <w:color w:val="auto"/>
                <w:spacing w:val="0"/>
                <w:szCs w:val="21"/>
                <w:highlight w:val="none"/>
              </w:rPr>
              <w:t>，可实施性强</w:t>
            </w:r>
            <w:r>
              <w:rPr>
                <w:rFonts w:hint="eastAsia" w:ascii="宋体" w:hAnsi="宋体" w:cs="宋体"/>
                <w:color w:val="auto"/>
                <w:spacing w:val="0"/>
                <w:szCs w:val="21"/>
                <w:highlight w:val="none"/>
                <w:lang w:eastAsia="zh-CN"/>
              </w:rPr>
              <w:t>的</w:t>
            </w:r>
            <w:r>
              <w:rPr>
                <w:rFonts w:hint="eastAsia" w:ascii="宋体" w:hAnsi="宋体" w:cs="宋体"/>
                <w:color w:val="auto"/>
                <w:spacing w:val="0"/>
                <w:szCs w:val="21"/>
                <w:highlight w:val="none"/>
              </w:rPr>
              <w:t>为优得</w:t>
            </w:r>
            <w:r>
              <w:rPr>
                <w:rFonts w:hint="eastAsia" w:ascii="宋体" w:hAnsi="宋体" w:cs="宋体"/>
                <w:color w:val="auto"/>
                <w:spacing w:val="0"/>
                <w:szCs w:val="21"/>
                <w:highlight w:val="none"/>
                <w:lang w:val="en-US" w:eastAsia="zh-CN"/>
              </w:rPr>
              <w:t>5</w:t>
            </w:r>
            <w:r>
              <w:rPr>
                <w:rFonts w:hint="eastAsia" w:ascii="宋体" w:hAnsi="宋体" w:cs="宋体"/>
                <w:color w:val="auto"/>
                <w:spacing w:val="0"/>
                <w:szCs w:val="21"/>
                <w:highlight w:val="none"/>
              </w:rPr>
              <w:t>分；</w:t>
            </w:r>
          </w:p>
          <w:p w14:paraId="0076A949">
            <w:pPr>
              <w:pStyle w:val="2"/>
              <w:spacing w:line="400" w:lineRule="exact"/>
              <w:ind w:firstLine="0" w:firstLineChars="0"/>
              <w:rPr>
                <w:rFonts w:cs="宋体"/>
                <w:color w:val="auto"/>
                <w:szCs w:val="21"/>
                <w:highlight w:val="none"/>
              </w:rPr>
            </w:pPr>
            <w:r>
              <w:rPr>
                <w:rFonts w:hint="eastAsia" w:cs="宋体"/>
                <w:color w:val="auto"/>
                <w:szCs w:val="21"/>
                <w:highlight w:val="none"/>
              </w:rPr>
              <w:t>监理大纲</w:t>
            </w:r>
            <w:r>
              <w:rPr>
                <w:rFonts w:hint="eastAsia" w:ascii="宋体" w:hAnsi="宋体" w:cs="宋体"/>
                <w:color w:val="auto"/>
                <w:spacing w:val="0"/>
                <w:szCs w:val="21"/>
                <w:highlight w:val="none"/>
                <w:lang w:val="en-US" w:eastAsia="zh-CN"/>
              </w:rPr>
              <w:t>内容</w:t>
            </w:r>
            <w:r>
              <w:rPr>
                <w:rFonts w:hint="eastAsia" w:cs="宋体"/>
                <w:color w:val="auto"/>
                <w:spacing w:val="0"/>
                <w:szCs w:val="21"/>
                <w:highlight w:val="none"/>
                <w:lang w:val="en-US" w:eastAsia="zh-CN"/>
              </w:rPr>
              <w:t>较为</w:t>
            </w:r>
            <w:r>
              <w:rPr>
                <w:rFonts w:hint="eastAsia" w:ascii="宋体" w:hAnsi="宋体" w:cs="宋体"/>
                <w:color w:val="auto"/>
                <w:spacing w:val="0"/>
                <w:szCs w:val="21"/>
                <w:highlight w:val="none"/>
                <w:lang w:val="en-US" w:eastAsia="zh-CN"/>
              </w:rPr>
              <w:t>齐全</w:t>
            </w:r>
            <w:r>
              <w:rPr>
                <w:rFonts w:hint="eastAsia" w:cs="宋体"/>
                <w:color w:val="auto"/>
                <w:spacing w:val="0"/>
                <w:szCs w:val="21"/>
                <w:highlight w:val="none"/>
                <w:lang w:val="en-US" w:eastAsia="zh-CN"/>
              </w:rPr>
              <w:t>、</w:t>
            </w:r>
            <w:r>
              <w:rPr>
                <w:rFonts w:hint="eastAsia" w:ascii="宋体" w:hAnsi="宋体" w:cs="宋体"/>
                <w:color w:val="auto"/>
                <w:spacing w:val="0"/>
                <w:szCs w:val="21"/>
                <w:highlight w:val="none"/>
                <w:lang w:val="en-US" w:eastAsia="zh-CN"/>
              </w:rPr>
              <w:t>结构</w:t>
            </w:r>
            <w:r>
              <w:rPr>
                <w:rFonts w:hint="eastAsia" w:cs="宋体"/>
                <w:color w:val="auto"/>
                <w:spacing w:val="0"/>
                <w:szCs w:val="21"/>
                <w:highlight w:val="none"/>
                <w:lang w:val="en-US" w:eastAsia="zh-CN"/>
              </w:rPr>
              <w:t>较为</w:t>
            </w:r>
            <w:r>
              <w:rPr>
                <w:rFonts w:hint="eastAsia" w:ascii="宋体" w:hAnsi="宋体" w:cs="宋体"/>
                <w:color w:val="auto"/>
                <w:spacing w:val="0"/>
                <w:szCs w:val="21"/>
                <w:highlight w:val="none"/>
                <w:lang w:val="en-US" w:eastAsia="zh-CN"/>
              </w:rPr>
              <w:t>完整</w:t>
            </w:r>
            <w:r>
              <w:rPr>
                <w:rFonts w:hint="eastAsia" w:cs="宋体"/>
                <w:color w:val="auto"/>
                <w:szCs w:val="21"/>
                <w:highlight w:val="none"/>
              </w:rPr>
              <w:t>，</w:t>
            </w:r>
            <w:r>
              <w:rPr>
                <w:rFonts w:hint="eastAsia" w:cs="宋体"/>
                <w:color w:val="auto"/>
                <w:szCs w:val="21"/>
                <w:highlight w:val="none"/>
                <w:lang w:val="en-US" w:eastAsia="zh-CN"/>
              </w:rPr>
              <w:t>具有</w:t>
            </w:r>
            <w:r>
              <w:rPr>
                <w:rFonts w:hint="eastAsia" w:cs="宋体"/>
                <w:color w:val="auto"/>
                <w:szCs w:val="21"/>
                <w:highlight w:val="none"/>
              </w:rPr>
              <w:t>可实施性</w:t>
            </w:r>
            <w:r>
              <w:rPr>
                <w:rFonts w:hint="eastAsia" w:cs="宋体"/>
                <w:color w:val="auto"/>
                <w:szCs w:val="21"/>
                <w:highlight w:val="none"/>
                <w:lang w:eastAsia="zh-CN"/>
              </w:rPr>
              <w:t>的</w:t>
            </w:r>
            <w:r>
              <w:rPr>
                <w:rFonts w:hint="eastAsia" w:cs="宋体"/>
                <w:color w:val="auto"/>
                <w:szCs w:val="21"/>
                <w:highlight w:val="none"/>
                <w:lang w:val="en-US" w:eastAsia="zh-CN"/>
              </w:rPr>
              <w:t>为</w:t>
            </w:r>
            <w:r>
              <w:rPr>
                <w:rFonts w:hint="eastAsia" w:cs="宋体"/>
                <w:color w:val="auto"/>
                <w:szCs w:val="21"/>
                <w:highlight w:val="none"/>
              </w:rPr>
              <w:t>良好得</w:t>
            </w:r>
            <w:r>
              <w:rPr>
                <w:rFonts w:hint="eastAsia" w:cs="宋体"/>
                <w:color w:val="auto"/>
                <w:szCs w:val="21"/>
                <w:highlight w:val="none"/>
                <w:lang w:val="en-US" w:eastAsia="zh-CN"/>
              </w:rPr>
              <w:t>3</w:t>
            </w:r>
            <w:r>
              <w:rPr>
                <w:rFonts w:hint="eastAsia" w:cs="宋体"/>
                <w:color w:val="auto"/>
                <w:szCs w:val="21"/>
                <w:highlight w:val="none"/>
              </w:rPr>
              <w:t>分；</w:t>
            </w:r>
          </w:p>
          <w:p w14:paraId="5C66F351">
            <w:pPr>
              <w:keepNext w:val="0"/>
              <w:keepLines w:val="0"/>
              <w:pageBreakBefore w:val="0"/>
              <w:kinsoku/>
              <w:overflowPunct/>
              <w:topLinePunct w:val="0"/>
              <w:bidi w:val="0"/>
              <w:adjustRightInd w:val="0"/>
              <w:snapToGrid/>
              <w:spacing w:line="400" w:lineRule="exact"/>
              <w:textAlignment w:val="baseline"/>
              <w:rPr>
                <w:rFonts w:hint="eastAsia" w:ascii="宋体" w:hAnsi="宋体" w:eastAsia="宋体" w:cs="宋体"/>
                <w:color w:val="auto"/>
                <w:szCs w:val="21"/>
                <w:highlight w:val="none"/>
              </w:rPr>
            </w:pPr>
            <w:r>
              <w:rPr>
                <w:rFonts w:hint="eastAsia" w:cs="宋体"/>
                <w:color w:val="auto"/>
                <w:szCs w:val="21"/>
                <w:highlight w:val="none"/>
              </w:rPr>
              <w:t>监理大纲</w:t>
            </w:r>
            <w:r>
              <w:rPr>
                <w:rFonts w:hint="eastAsia" w:cs="宋体"/>
                <w:color w:val="auto"/>
                <w:szCs w:val="21"/>
                <w:highlight w:val="none"/>
                <w:lang w:val="en-US" w:eastAsia="zh-CN"/>
              </w:rPr>
              <w:t>内容不够齐全、</w:t>
            </w:r>
            <w:r>
              <w:rPr>
                <w:rFonts w:hint="eastAsia" w:ascii="宋体" w:hAnsi="宋体" w:cs="宋体"/>
                <w:color w:val="auto"/>
                <w:spacing w:val="0"/>
                <w:szCs w:val="21"/>
                <w:highlight w:val="none"/>
                <w:lang w:val="en-US" w:eastAsia="zh-CN"/>
              </w:rPr>
              <w:t>结构不够完整</w:t>
            </w:r>
            <w:r>
              <w:rPr>
                <w:rFonts w:hint="eastAsia" w:cs="宋体"/>
                <w:color w:val="auto"/>
                <w:szCs w:val="21"/>
                <w:highlight w:val="none"/>
              </w:rPr>
              <w:t>，可实施性一般得</w:t>
            </w:r>
            <w:r>
              <w:rPr>
                <w:rFonts w:cs="宋体"/>
                <w:color w:val="auto"/>
                <w:szCs w:val="21"/>
                <w:highlight w:val="none"/>
              </w:rPr>
              <w:t>1</w:t>
            </w:r>
            <w:r>
              <w:rPr>
                <w:rFonts w:hint="eastAsia" w:cs="宋体"/>
                <w:color w:val="auto"/>
                <w:szCs w:val="21"/>
                <w:highlight w:val="none"/>
              </w:rPr>
              <w:t>分。</w:t>
            </w:r>
          </w:p>
        </w:tc>
      </w:tr>
      <w:tr w14:paraId="39AA3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86" w:type="dxa"/>
            <w:vMerge w:val="continue"/>
            <w:vAlign w:val="center"/>
          </w:tcPr>
          <w:p w14:paraId="4908E57B">
            <w:pPr>
              <w:pStyle w:val="2"/>
              <w:keepNext w:val="0"/>
              <w:keepLines w:val="0"/>
              <w:pageBreakBefore w:val="0"/>
              <w:kinsoku/>
              <w:overflowPunct/>
              <w:topLinePunct w:val="0"/>
              <w:bidi w:val="0"/>
              <w:snapToGrid/>
              <w:spacing w:line="400" w:lineRule="exact"/>
              <w:ind w:firstLine="210" w:firstLineChars="100"/>
              <w:rPr>
                <w:rFonts w:hint="default"/>
                <w:color w:val="auto"/>
                <w:highlight w:val="none"/>
                <w:lang w:val="en-US" w:eastAsia="zh-CN"/>
              </w:rPr>
            </w:pPr>
          </w:p>
        </w:tc>
        <w:tc>
          <w:tcPr>
            <w:tcW w:w="1680" w:type="dxa"/>
            <w:vAlign w:val="center"/>
          </w:tcPr>
          <w:p w14:paraId="4DCD41C5">
            <w:pPr>
              <w:keepNext w:val="0"/>
              <w:keepLines w:val="0"/>
              <w:pageBreakBefore w:val="0"/>
              <w:kinsoku/>
              <w:overflowPunct/>
              <w:topLinePunct w:val="0"/>
              <w:bidi w:val="0"/>
              <w:adjustRightInd w:val="0"/>
              <w:snapToGrid/>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质量控制</w:t>
            </w:r>
            <w:r>
              <w:rPr>
                <w:rFonts w:hint="eastAsia" w:ascii="宋体" w:hAnsi="宋体" w:eastAsia="宋体" w:cs="宋体"/>
                <w:color w:val="auto"/>
                <w:szCs w:val="21"/>
                <w:highlight w:val="none"/>
                <w:lang w:val="en-US" w:eastAsia="zh-CN"/>
              </w:rPr>
              <w:t>方案</w:t>
            </w:r>
          </w:p>
          <w:p w14:paraId="69E87C0E">
            <w:pPr>
              <w:keepNext w:val="0"/>
              <w:keepLines w:val="0"/>
              <w:pageBreakBefore w:val="0"/>
              <w:kinsoku/>
              <w:overflowPunct/>
              <w:topLinePunct w:val="0"/>
              <w:bidi w:val="0"/>
              <w:adjustRightInd w:val="0"/>
              <w:snapToGrid/>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5分</w:t>
            </w:r>
          </w:p>
        </w:tc>
        <w:tc>
          <w:tcPr>
            <w:tcW w:w="6873" w:type="dxa"/>
            <w:vAlign w:val="center"/>
          </w:tcPr>
          <w:p w14:paraId="07210BD4">
            <w:pPr>
              <w:keepNext w:val="0"/>
              <w:keepLines w:val="0"/>
              <w:pageBreakBefore w:val="0"/>
              <w:kinsoku/>
              <w:overflowPunct/>
              <w:topLinePunct w:val="0"/>
              <w:bidi w:val="0"/>
              <w:adjustRightInd w:val="0"/>
              <w:snapToGrid/>
              <w:spacing w:line="400" w:lineRule="exac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质量控制</w:t>
            </w:r>
            <w:r>
              <w:rPr>
                <w:rFonts w:hint="eastAsia" w:ascii="宋体" w:hAnsi="宋体" w:eastAsia="宋体" w:cs="宋体"/>
                <w:color w:val="auto"/>
                <w:szCs w:val="21"/>
                <w:highlight w:val="none"/>
                <w:lang w:val="en-US" w:eastAsia="zh-CN"/>
              </w:rPr>
              <w:t>方案</w:t>
            </w:r>
            <w:r>
              <w:rPr>
                <w:rFonts w:hint="eastAsia" w:ascii="宋体" w:hAnsi="宋体" w:eastAsia="宋体" w:cs="宋体"/>
                <w:color w:val="auto"/>
                <w:szCs w:val="21"/>
                <w:highlight w:val="none"/>
              </w:rPr>
              <w:t>阐述详实具体、可实施性强的为优得5分；</w:t>
            </w:r>
          </w:p>
          <w:p w14:paraId="6995E68F">
            <w:pPr>
              <w:keepNext w:val="0"/>
              <w:keepLines w:val="0"/>
              <w:pageBreakBefore w:val="0"/>
              <w:kinsoku/>
              <w:overflowPunct/>
              <w:topLinePunct w:val="0"/>
              <w:bidi w:val="0"/>
              <w:adjustRightInd w:val="0"/>
              <w:snapToGrid/>
              <w:spacing w:line="400" w:lineRule="exac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质量控制</w:t>
            </w:r>
            <w:r>
              <w:rPr>
                <w:rFonts w:hint="eastAsia" w:ascii="宋体" w:hAnsi="宋体" w:eastAsia="宋体" w:cs="宋体"/>
                <w:color w:val="auto"/>
                <w:szCs w:val="21"/>
                <w:highlight w:val="none"/>
                <w:lang w:val="en-US" w:eastAsia="zh-CN"/>
              </w:rPr>
              <w:t>方案</w:t>
            </w:r>
            <w:r>
              <w:rPr>
                <w:rFonts w:hint="eastAsia" w:ascii="宋体" w:hAnsi="宋体" w:eastAsia="宋体" w:cs="宋体"/>
                <w:color w:val="auto"/>
                <w:szCs w:val="21"/>
                <w:highlight w:val="none"/>
              </w:rPr>
              <w:t>阐述较为详细</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具有可实施性的为良好得3分；</w:t>
            </w:r>
          </w:p>
          <w:p w14:paraId="4CF25CDF">
            <w:pPr>
              <w:keepNext w:val="0"/>
              <w:keepLines w:val="0"/>
              <w:pageBreakBefore w:val="0"/>
              <w:kinsoku/>
              <w:overflowPunct/>
              <w:topLinePunct w:val="0"/>
              <w:bidi w:val="0"/>
              <w:adjustRightInd w:val="0"/>
              <w:snapToGrid/>
              <w:spacing w:line="400" w:lineRule="exac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质量控制</w:t>
            </w:r>
            <w:r>
              <w:rPr>
                <w:rFonts w:hint="eastAsia" w:ascii="宋体" w:hAnsi="宋体" w:eastAsia="宋体" w:cs="宋体"/>
                <w:color w:val="auto"/>
                <w:szCs w:val="21"/>
                <w:highlight w:val="none"/>
                <w:lang w:val="en-US" w:eastAsia="zh-CN"/>
              </w:rPr>
              <w:t>方案</w:t>
            </w:r>
            <w:r>
              <w:rPr>
                <w:rFonts w:hint="eastAsia" w:ascii="宋体" w:hAnsi="宋体" w:eastAsia="宋体" w:cs="宋体"/>
                <w:color w:val="auto"/>
                <w:szCs w:val="21"/>
                <w:highlight w:val="none"/>
              </w:rPr>
              <w:t>阐述不够详细具体</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可实施性一般得1分。</w:t>
            </w:r>
          </w:p>
        </w:tc>
      </w:tr>
      <w:tr w14:paraId="45C2B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86" w:type="dxa"/>
            <w:vMerge w:val="continue"/>
            <w:vAlign w:val="center"/>
          </w:tcPr>
          <w:p w14:paraId="1EAB669E">
            <w:pPr>
              <w:keepNext w:val="0"/>
              <w:keepLines w:val="0"/>
              <w:pageBreakBefore w:val="0"/>
              <w:kinsoku/>
              <w:overflowPunct/>
              <w:topLinePunct w:val="0"/>
              <w:bidi w:val="0"/>
              <w:adjustRightInd w:val="0"/>
              <w:snapToGrid/>
              <w:spacing w:line="400" w:lineRule="exact"/>
              <w:ind w:firstLine="420" w:firstLineChars="200"/>
              <w:jc w:val="center"/>
              <w:textAlignment w:val="baseline"/>
              <w:rPr>
                <w:rFonts w:hint="eastAsia" w:ascii="宋体" w:hAnsi="宋体" w:eastAsia="宋体" w:cs="宋体"/>
                <w:color w:val="auto"/>
                <w:szCs w:val="21"/>
                <w:highlight w:val="none"/>
              </w:rPr>
            </w:pPr>
          </w:p>
        </w:tc>
        <w:tc>
          <w:tcPr>
            <w:tcW w:w="1680" w:type="dxa"/>
            <w:vAlign w:val="center"/>
          </w:tcPr>
          <w:p w14:paraId="0E212D6E">
            <w:pPr>
              <w:keepNext w:val="0"/>
              <w:keepLines w:val="0"/>
              <w:pageBreakBefore w:val="0"/>
              <w:kinsoku/>
              <w:overflowPunct/>
              <w:topLinePunct w:val="0"/>
              <w:bidi w:val="0"/>
              <w:adjustRightInd w:val="0"/>
              <w:snapToGrid/>
              <w:spacing w:line="400" w:lineRule="exact"/>
              <w:jc w:val="center"/>
              <w:textAlignment w:val="baseline"/>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进度控制</w:t>
            </w:r>
            <w:r>
              <w:rPr>
                <w:rFonts w:hint="eastAsia" w:ascii="宋体" w:hAnsi="宋体" w:eastAsia="宋体" w:cs="宋体"/>
                <w:color w:val="auto"/>
                <w:szCs w:val="21"/>
                <w:highlight w:val="none"/>
                <w:lang w:val="en-US" w:eastAsia="zh-CN"/>
              </w:rPr>
              <w:t>方案</w:t>
            </w:r>
          </w:p>
          <w:p w14:paraId="575BA5A3">
            <w:pPr>
              <w:keepNext w:val="0"/>
              <w:keepLines w:val="0"/>
              <w:pageBreakBefore w:val="0"/>
              <w:kinsoku/>
              <w:overflowPunct/>
              <w:topLinePunct w:val="0"/>
              <w:bidi w:val="0"/>
              <w:adjustRightInd w:val="0"/>
              <w:snapToGrid/>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5分</w:t>
            </w:r>
          </w:p>
        </w:tc>
        <w:tc>
          <w:tcPr>
            <w:tcW w:w="6873" w:type="dxa"/>
            <w:vAlign w:val="center"/>
          </w:tcPr>
          <w:p w14:paraId="21F431C5">
            <w:pPr>
              <w:keepNext w:val="0"/>
              <w:keepLines w:val="0"/>
              <w:pageBreakBefore w:val="0"/>
              <w:kinsoku/>
              <w:overflowPunct/>
              <w:topLinePunct w:val="0"/>
              <w:bidi w:val="0"/>
              <w:adjustRightInd w:val="0"/>
              <w:snapToGrid/>
              <w:spacing w:line="400" w:lineRule="exac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进度控制</w:t>
            </w:r>
            <w:r>
              <w:rPr>
                <w:rFonts w:hint="eastAsia" w:ascii="宋体" w:hAnsi="宋体" w:eastAsia="宋体" w:cs="宋体"/>
                <w:color w:val="auto"/>
                <w:szCs w:val="21"/>
                <w:highlight w:val="none"/>
                <w:lang w:val="en-US" w:eastAsia="zh-CN"/>
              </w:rPr>
              <w:t>方案</w:t>
            </w:r>
            <w:r>
              <w:rPr>
                <w:rFonts w:hint="eastAsia" w:ascii="宋体" w:hAnsi="宋体" w:eastAsia="宋体" w:cs="宋体"/>
                <w:color w:val="auto"/>
                <w:szCs w:val="21"/>
                <w:highlight w:val="none"/>
              </w:rPr>
              <w:t>阐述详实具体、可实施性强的为优得5分；</w:t>
            </w:r>
          </w:p>
          <w:p w14:paraId="5E868E75">
            <w:pPr>
              <w:keepNext w:val="0"/>
              <w:keepLines w:val="0"/>
              <w:pageBreakBefore w:val="0"/>
              <w:kinsoku/>
              <w:overflowPunct/>
              <w:topLinePunct w:val="0"/>
              <w:bidi w:val="0"/>
              <w:adjustRightInd w:val="0"/>
              <w:snapToGrid/>
              <w:spacing w:line="400" w:lineRule="exac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进度控制</w:t>
            </w:r>
            <w:r>
              <w:rPr>
                <w:rFonts w:hint="eastAsia" w:ascii="宋体" w:hAnsi="宋体" w:eastAsia="宋体" w:cs="宋体"/>
                <w:color w:val="auto"/>
                <w:szCs w:val="21"/>
                <w:highlight w:val="none"/>
                <w:lang w:val="en-US" w:eastAsia="zh-CN"/>
              </w:rPr>
              <w:t>方案</w:t>
            </w:r>
            <w:r>
              <w:rPr>
                <w:rFonts w:hint="eastAsia" w:ascii="宋体" w:hAnsi="宋体" w:eastAsia="宋体" w:cs="宋体"/>
                <w:color w:val="auto"/>
                <w:szCs w:val="21"/>
                <w:highlight w:val="none"/>
              </w:rPr>
              <w:t>阐述较为详细</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具有可实施性的为良好得3分；</w:t>
            </w:r>
          </w:p>
          <w:p w14:paraId="2E7D09DD">
            <w:pPr>
              <w:keepNext w:val="0"/>
              <w:keepLines w:val="0"/>
              <w:pageBreakBefore w:val="0"/>
              <w:kinsoku/>
              <w:overflowPunct/>
              <w:topLinePunct w:val="0"/>
              <w:bidi w:val="0"/>
              <w:adjustRightInd w:val="0"/>
              <w:snapToGrid/>
              <w:spacing w:line="400" w:lineRule="exac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进度控制</w:t>
            </w:r>
            <w:r>
              <w:rPr>
                <w:rFonts w:hint="eastAsia" w:ascii="宋体" w:hAnsi="宋体" w:eastAsia="宋体" w:cs="宋体"/>
                <w:color w:val="auto"/>
                <w:szCs w:val="21"/>
                <w:highlight w:val="none"/>
                <w:lang w:val="en-US" w:eastAsia="zh-CN"/>
              </w:rPr>
              <w:t>方案</w:t>
            </w:r>
            <w:r>
              <w:rPr>
                <w:rFonts w:hint="eastAsia" w:ascii="宋体" w:hAnsi="宋体" w:eastAsia="宋体" w:cs="宋体"/>
                <w:color w:val="auto"/>
                <w:szCs w:val="21"/>
                <w:highlight w:val="none"/>
              </w:rPr>
              <w:t>阐述不够详细具体</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可实施性一般得1分。</w:t>
            </w:r>
          </w:p>
        </w:tc>
      </w:tr>
      <w:tr w14:paraId="2A2B8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086" w:type="dxa"/>
            <w:vMerge w:val="continue"/>
            <w:vAlign w:val="center"/>
          </w:tcPr>
          <w:p w14:paraId="074056BE">
            <w:pPr>
              <w:keepNext w:val="0"/>
              <w:keepLines w:val="0"/>
              <w:pageBreakBefore w:val="0"/>
              <w:kinsoku/>
              <w:overflowPunct/>
              <w:topLinePunct w:val="0"/>
              <w:bidi w:val="0"/>
              <w:adjustRightInd w:val="0"/>
              <w:snapToGrid/>
              <w:spacing w:line="400" w:lineRule="exact"/>
              <w:ind w:firstLine="420" w:firstLineChars="200"/>
              <w:jc w:val="center"/>
              <w:textAlignment w:val="baseline"/>
              <w:rPr>
                <w:rFonts w:hint="eastAsia" w:ascii="宋体" w:hAnsi="宋体" w:eastAsia="宋体" w:cs="宋体"/>
                <w:color w:val="auto"/>
                <w:szCs w:val="21"/>
                <w:highlight w:val="none"/>
              </w:rPr>
            </w:pPr>
          </w:p>
        </w:tc>
        <w:tc>
          <w:tcPr>
            <w:tcW w:w="1680" w:type="dxa"/>
            <w:shd w:val="clear" w:color="auto" w:fill="auto"/>
            <w:vAlign w:val="center"/>
          </w:tcPr>
          <w:p w14:paraId="52BB19BA">
            <w:pPr>
              <w:keepNext w:val="0"/>
              <w:keepLines w:val="0"/>
              <w:pageBreakBefore w:val="0"/>
              <w:kinsoku/>
              <w:overflowPunct/>
              <w:topLinePunct w:val="0"/>
              <w:bidi w:val="0"/>
              <w:adjustRightInd w:val="0"/>
              <w:snapToGrid/>
              <w:spacing w:line="400" w:lineRule="exact"/>
              <w:jc w:val="center"/>
              <w:textAlignment w:val="baseline"/>
              <w:rPr>
                <w:rFonts w:hint="eastAsia" w:ascii="宋体" w:hAnsi="宋体" w:eastAsia="宋体" w:cs="宋体"/>
                <w:color w:val="auto"/>
                <w:spacing w:val="-11"/>
                <w:szCs w:val="21"/>
                <w:highlight w:val="none"/>
                <w:lang w:val="en-US" w:eastAsia="zh-CN"/>
              </w:rPr>
            </w:pPr>
            <w:r>
              <w:rPr>
                <w:rFonts w:hint="eastAsia" w:ascii="宋体" w:hAnsi="宋体" w:eastAsia="宋体" w:cs="宋体"/>
                <w:color w:val="auto"/>
                <w:spacing w:val="-11"/>
                <w:szCs w:val="21"/>
                <w:highlight w:val="none"/>
                <w:lang w:val="en-US" w:eastAsia="zh-CN"/>
              </w:rPr>
              <w:t>投资</w:t>
            </w:r>
            <w:r>
              <w:rPr>
                <w:rFonts w:hint="eastAsia" w:ascii="宋体" w:hAnsi="宋体" w:eastAsia="宋体" w:cs="宋体"/>
                <w:color w:val="auto"/>
                <w:spacing w:val="-11"/>
                <w:szCs w:val="21"/>
                <w:highlight w:val="none"/>
              </w:rPr>
              <w:t>控制</w:t>
            </w:r>
            <w:r>
              <w:rPr>
                <w:rFonts w:hint="eastAsia" w:ascii="宋体" w:hAnsi="宋体" w:eastAsia="宋体" w:cs="宋体"/>
                <w:color w:val="auto"/>
                <w:spacing w:val="-11"/>
                <w:szCs w:val="21"/>
                <w:highlight w:val="none"/>
                <w:lang w:val="en-US" w:eastAsia="zh-CN"/>
              </w:rPr>
              <w:t>方案</w:t>
            </w:r>
          </w:p>
          <w:p w14:paraId="123A778D">
            <w:pPr>
              <w:keepNext w:val="0"/>
              <w:keepLines w:val="0"/>
              <w:pageBreakBefore w:val="0"/>
              <w:kinsoku/>
              <w:overflowPunct/>
              <w:topLinePunct w:val="0"/>
              <w:bidi w:val="0"/>
              <w:adjustRightInd w:val="0"/>
              <w:snapToGrid/>
              <w:spacing w:line="400" w:lineRule="exact"/>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分</w:t>
            </w:r>
          </w:p>
        </w:tc>
        <w:tc>
          <w:tcPr>
            <w:tcW w:w="6873" w:type="dxa"/>
            <w:shd w:val="clear" w:color="auto" w:fill="auto"/>
            <w:vAlign w:val="center"/>
          </w:tcPr>
          <w:p w14:paraId="658DA43A">
            <w:pPr>
              <w:keepNext w:val="0"/>
              <w:keepLines w:val="0"/>
              <w:pageBreakBefore w:val="0"/>
              <w:kinsoku/>
              <w:overflowPunct/>
              <w:topLinePunct w:val="0"/>
              <w:bidi w:val="0"/>
              <w:adjustRightInd w:val="0"/>
              <w:snapToGrid/>
              <w:spacing w:line="400" w:lineRule="exac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投资控制方案</w:t>
            </w:r>
            <w:r>
              <w:rPr>
                <w:rFonts w:hint="eastAsia" w:ascii="宋体" w:hAnsi="宋体" w:eastAsia="宋体" w:cs="宋体"/>
                <w:color w:val="auto"/>
                <w:szCs w:val="21"/>
                <w:highlight w:val="none"/>
              </w:rPr>
              <w:t>施阐述详实具体、可实施性强的为优得</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分；</w:t>
            </w:r>
          </w:p>
          <w:p w14:paraId="22CED72A">
            <w:pPr>
              <w:keepNext w:val="0"/>
              <w:keepLines w:val="0"/>
              <w:pageBreakBefore w:val="0"/>
              <w:kinsoku/>
              <w:overflowPunct/>
              <w:topLinePunct w:val="0"/>
              <w:bidi w:val="0"/>
              <w:adjustRightInd w:val="0"/>
              <w:snapToGrid/>
              <w:spacing w:line="400" w:lineRule="exact"/>
              <w:textAlignment w:val="baseline"/>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lang w:val="en-US" w:eastAsia="zh-CN"/>
              </w:rPr>
              <w:t>投资控制方案</w:t>
            </w:r>
            <w:r>
              <w:rPr>
                <w:rFonts w:hint="eastAsia" w:ascii="宋体" w:hAnsi="宋体" w:eastAsia="宋体" w:cs="宋体"/>
                <w:color w:val="auto"/>
                <w:spacing w:val="-6"/>
                <w:szCs w:val="21"/>
                <w:highlight w:val="none"/>
              </w:rPr>
              <w:t>阐述较为详细</w:t>
            </w:r>
            <w:r>
              <w:rPr>
                <w:rFonts w:hint="eastAsia" w:ascii="宋体" w:hAnsi="宋体" w:cs="宋体"/>
                <w:color w:val="auto"/>
                <w:spacing w:val="-6"/>
                <w:szCs w:val="21"/>
                <w:highlight w:val="none"/>
                <w:lang w:eastAsia="zh-CN"/>
              </w:rPr>
              <w:t>、</w:t>
            </w:r>
            <w:r>
              <w:rPr>
                <w:rFonts w:hint="eastAsia" w:ascii="宋体" w:hAnsi="宋体" w:eastAsia="宋体" w:cs="宋体"/>
                <w:color w:val="auto"/>
                <w:spacing w:val="-6"/>
                <w:szCs w:val="21"/>
                <w:highlight w:val="none"/>
              </w:rPr>
              <w:t>具有可实施性的为良好得</w:t>
            </w:r>
            <w:r>
              <w:rPr>
                <w:rFonts w:hint="eastAsia" w:ascii="宋体" w:hAnsi="宋体" w:cs="宋体"/>
                <w:color w:val="auto"/>
                <w:spacing w:val="-6"/>
                <w:szCs w:val="21"/>
                <w:highlight w:val="none"/>
                <w:lang w:val="en-US" w:eastAsia="zh-CN"/>
              </w:rPr>
              <w:t>3</w:t>
            </w:r>
            <w:r>
              <w:rPr>
                <w:rFonts w:hint="eastAsia" w:ascii="宋体" w:hAnsi="宋体" w:eastAsia="宋体" w:cs="宋体"/>
                <w:color w:val="auto"/>
                <w:spacing w:val="-6"/>
                <w:szCs w:val="21"/>
                <w:highlight w:val="none"/>
              </w:rPr>
              <w:t>分；</w:t>
            </w:r>
          </w:p>
          <w:p w14:paraId="29A3FECE">
            <w:pPr>
              <w:keepNext w:val="0"/>
              <w:keepLines w:val="0"/>
              <w:pageBreakBefore w:val="0"/>
              <w:kinsoku/>
              <w:overflowPunct/>
              <w:topLinePunct w:val="0"/>
              <w:bidi w:val="0"/>
              <w:adjustRightInd w:val="0"/>
              <w:snapToGrid/>
              <w:spacing w:line="400" w:lineRule="exact"/>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投资控制方案</w:t>
            </w:r>
            <w:r>
              <w:rPr>
                <w:rFonts w:hint="eastAsia" w:ascii="宋体" w:hAnsi="宋体" w:eastAsia="宋体" w:cs="宋体"/>
                <w:color w:val="auto"/>
                <w:szCs w:val="21"/>
                <w:highlight w:val="none"/>
              </w:rPr>
              <w:t>阐述不够详细具体</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可实施性一般得1分。</w:t>
            </w:r>
          </w:p>
        </w:tc>
      </w:tr>
      <w:tr w14:paraId="28248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6" w:type="dxa"/>
            <w:vMerge w:val="continue"/>
            <w:vAlign w:val="center"/>
          </w:tcPr>
          <w:p w14:paraId="4F36BB70">
            <w:pPr>
              <w:keepNext w:val="0"/>
              <w:keepLines w:val="0"/>
              <w:pageBreakBefore w:val="0"/>
              <w:kinsoku/>
              <w:overflowPunct/>
              <w:topLinePunct w:val="0"/>
              <w:bidi w:val="0"/>
              <w:adjustRightInd w:val="0"/>
              <w:snapToGrid/>
              <w:spacing w:line="400" w:lineRule="exact"/>
              <w:ind w:firstLine="420" w:firstLineChars="200"/>
              <w:jc w:val="center"/>
              <w:textAlignment w:val="baseline"/>
              <w:rPr>
                <w:rFonts w:hint="eastAsia" w:ascii="宋体" w:hAnsi="宋体" w:eastAsia="宋体" w:cs="宋体"/>
                <w:color w:val="auto"/>
                <w:szCs w:val="21"/>
                <w:highlight w:val="none"/>
              </w:rPr>
            </w:pPr>
          </w:p>
        </w:tc>
        <w:tc>
          <w:tcPr>
            <w:tcW w:w="1680" w:type="dxa"/>
            <w:shd w:val="clear" w:color="auto" w:fill="auto"/>
            <w:vAlign w:val="center"/>
          </w:tcPr>
          <w:p w14:paraId="7B3479F3">
            <w:pPr>
              <w:keepNext w:val="0"/>
              <w:keepLines w:val="0"/>
              <w:pageBreakBefore w:val="0"/>
              <w:kinsoku/>
              <w:overflowPunct/>
              <w:topLinePunct w:val="0"/>
              <w:bidi w:val="0"/>
              <w:adjustRightInd w:val="0"/>
              <w:snapToGrid/>
              <w:spacing w:line="400" w:lineRule="exact"/>
              <w:jc w:val="center"/>
              <w:textAlignment w:val="baseline"/>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安全控制</w:t>
            </w:r>
            <w:r>
              <w:rPr>
                <w:rFonts w:hint="eastAsia" w:ascii="宋体" w:hAnsi="宋体" w:eastAsia="宋体" w:cs="宋体"/>
                <w:color w:val="auto"/>
                <w:szCs w:val="21"/>
                <w:highlight w:val="none"/>
                <w:lang w:val="en-US" w:eastAsia="zh-CN"/>
              </w:rPr>
              <w:t>方案</w:t>
            </w:r>
          </w:p>
          <w:p w14:paraId="015B1E70">
            <w:pPr>
              <w:keepNext w:val="0"/>
              <w:keepLines w:val="0"/>
              <w:pageBreakBefore w:val="0"/>
              <w:kinsoku/>
              <w:overflowPunct/>
              <w:topLinePunct w:val="0"/>
              <w:bidi w:val="0"/>
              <w:adjustRightInd w:val="0"/>
              <w:snapToGrid/>
              <w:spacing w:line="400" w:lineRule="exact"/>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分</w:t>
            </w:r>
          </w:p>
        </w:tc>
        <w:tc>
          <w:tcPr>
            <w:tcW w:w="6873" w:type="dxa"/>
            <w:shd w:val="clear" w:color="auto" w:fill="auto"/>
            <w:vAlign w:val="center"/>
          </w:tcPr>
          <w:p w14:paraId="7A3ECC96">
            <w:pPr>
              <w:keepNext w:val="0"/>
              <w:keepLines w:val="0"/>
              <w:pageBreakBefore w:val="0"/>
              <w:kinsoku/>
              <w:overflowPunct/>
              <w:topLinePunct w:val="0"/>
              <w:bidi w:val="0"/>
              <w:adjustRightInd w:val="0"/>
              <w:snapToGrid/>
              <w:spacing w:line="400" w:lineRule="exac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安全控制</w:t>
            </w:r>
            <w:r>
              <w:rPr>
                <w:rFonts w:hint="eastAsia" w:ascii="宋体" w:hAnsi="宋体" w:eastAsia="宋体" w:cs="宋体"/>
                <w:color w:val="auto"/>
                <w:szCs w:val="21"/>
                <w:highlight w:val="none"/>
                <w:lang w:val="en-US" w:eastAsia="zh-CN"/>
              </w:rPr>
              <w:t>方案</w:t>
            </w:r>
            <w:r>
              <w:rPr>
                <w:rFonts w:hint="eastAsia" w:ascii="宋体" w:hAnsi="宋体" w:eastAsia="宋体" w:cs="宋体"/>
                <w:color w:val="auto"/>
                <w:szCs w:val="21"/>
                <w:highlight w:val="none"/>
              </w:rPr>
              <w:t>阐述详实、明确、具体、可实施性强的为优得</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分；</w:t>
            </w:r>
          </w:p>
          <w:p w14:paraId="01B3B0A0">
            <w:pPr>
              <w:keepNext w:val="0"/>
              <w:keepLines w:val="0"/>
              <w:pageBreakBefore w:val="0"/>
              <w:kinsoku/>
              <w:overflowPunct/>
              <w:topLinePunct w:val="0"/>
              <w:bidi w:val="0"/>
              <w:adjustRightInd w:val="0"/>
              <w:snapToGrid/>
              <w:spacing w:line="400" w:lineRule="exac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安全控制</w:t>
            </w:r>
            <w:r>
              <w:rPr>
                <w:rFonts w:hint="eastAsia" w:ascii="宋体" w:hAnsi="宋体" w:eastAsia="宋体" w:cs="宋体"/>
                <w:color w:val="auto"/>
                <w:szCs w:val="21"/>
                <w:highlight w:val="none"/>
                <w:lang w:val="en-US" w:eastAsia="zh-CN"/>
              </w:rPr>
              <w:t>方案</w:t>
            </w:r>
            <w:r>
              <w:rPr>
                <w:rFonts w:hint="eastAsia" w:ascii="宋体" w:hAnsi="宋体" w:eastAsia="宋体" w:cs="宋体"/>
                <w:color w:val="auto"/>
                <w:szCs w:val="21"/>
                <w:highlight w:val="none"/>
              </w:rPr>
              <w:t>阐述较为详细</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具有可实施性的为良好得</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分；</w:t>
            </w:r>
          </w:p>
          <w:p w14:paraId="75752565">
            <w:pPr>
              <w:keepNext w:val="0"/>
              <w:keepLines w:val="0"/>
              <w:pageBreakBefore w:val="0"/>
              <w:kinsoku/>
              <w:overflowPunct/>
              <w:topLinePunct w:val="0"/>
              <w:bidi w:val="0"/>
              <w:adjustRightInd w:val="0"/>
              <w:snapToGrid/>
              <w:spacing w:line="400" w:lineRule="exact"/>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安全控制</w:t>
            </w:r>
            <w:r>
              <w:rPr>
                <w:rFonts w:hint="eastAsia" w:ascii="宋体" w:hAnsi="宋体" w:eastAsia="宋体" w:cs="宋体"/>
                <w:color w:val="auto"/>
                <w:szCs w:val="21"/>
                <w:highlight w:val="none"/>
                <w:lang w:val="en-US" w:eastAsia="zh-CN"/>
              </w:rPr>
              <w:t>方案</w:t>
            </w:r>
            <w:r>
              <w:rPr>
                <w:rFonts w:hint="eastAsia" w:ascii="宋体" w:hAnsi="宋体" w:eastAsia="宋体" w:cs="宋体"/>
                <w:color w:val="auto"/>
                <w:szCs w:val="21"/>
                <w:highlight w:val="none"/>
              </w:rPr>
              <w:t>阐述不够详细具体</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可实施性一般得1分。</w:t>
            </w:r>
          </w:p>
        </w:tc>
      </w:tr>
      <w:tr w14:paraId="312BC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86" w:type="dxa"/>
            <w:vMerge w:val="continue"/>
            <w:vAlign w:val="center"/>
          </w:tcPr>
          <w:p w14:paraId="5B14ED9A">
            <w:pPr>
              <w:keepNext w:val="0"/>
              <w:keepLines w:val="0"/>
              <w:pageBreakBefore w:val="0"/>
              <w:kinsoku/>
              <w:overflowPunct/>
              <w:topLinePunct w:val="0"/>
              <w:bidi w:val="0"/>
              <w:adjustRightInd w:val="0"/>
              <w:snapToGrid/>
              <w:spacing w:line="400" w:lineRule="exact"/>
              <w:ind w:firstLine="420" w:firstLineChars="200"/>
              <w:jc w:val="center"/>
              <w:textAlignment w:val="baseline"/>
              <w:rPr>
                <w:rFonts w:hint="eastAsia" w:ascii="宋体" w:hAnsi="宋体" w:eastAsia="宋体" w:cs="宋体"/>
                <w:color w:val="auto"/>
                <w:szCs w:val="21"/>
                <w:highlight w:val="none"/>
              </w:rPr>
            </w:pPr>
          </w:p>
        </w:tc>
        <w:tc>
          <w:tcPr>
            <w:tcW w:w="1680" w:type="dxa"/>
            <w:vAlign w:val="center"/>
          </w:tcPr>
          <w:p w14:paraId="370ECC35">
            <w:pPr>
              <w:keepNext w:val="0"/>
              <w:keepLines w:val="0"/>
              <w:pageBreakBefore w:val="0"/>
              <w:kinsoku/>
              <w:overflowPunct/>
              <w:topLinePunct w:val="0"/>
              <w:bidi w:val="0"/>
              <w:adjustRightInd w:val="0"/>
              <w:snapToGrid/>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w:t>
            </w:r>
            <w:r>
              <w:rPr>
                <w:rFonts w:hint="eastAsia" w:ascii="宋体" w:hAnsi="宋体" w:cs="宋体"/>
                <w:color w:val="auto"/>
                <w:szCs w:val="21"/>
                <w:highlight w:val="none"/>
                <w:lang w:val="en-US" w:eastAsia="zh-CN"/>
              </w:rPr>
              <w:t>及</w:t>
            </w:r>
            <w:r>
              <w:rPr>
                <w:rFonts w:hint="eastAsia" w:ascii="宋体" w:hAnsi="宋体" w:eastAsia="宋体" w:cs="宋体"/>
                <w:color w:val="auto"/>
                <w:szCs w:val="21"/>
                <w:highlight w:val="none"/>
              </w:rPr>
              <w:t>信息</w:t>
            </w:r>
          </w:p>
          <w:p w14:paraId="3CC45B4F">
            <w:pPr>
              <w:keepNext w:val="0"/>
              <w:keepLines w:val="0"/>
              <w:pageBreakBefore w:val="0"/>
              <w:kinsoku/>
              <w:overflowPunct/>
              <w:topLinePunct w:val="0"/>
              <w:bidi w:val="0"/>
              <w:adjustRightInd w:val="0"/>
              <w:snapToGrid/>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管理</w:t>
            </w:r>
            <w:r>
              <w:rPr>
                <w:rFonts w:hint="eastAsia" w:ascii="宋体" w:hAnsi="宋体" w:eastAsia="宋体" w:cs="宋体"/>
                <w:color w:val="auto"/>
                <w:szCs w:val="21"/>
                <w:highlight w:val="none"/>
                <w:lang w:val="en-US" w:eastAsia="zh-CN"/>
              </w:rPr>
              <w:t>方案</w:t>
            </w:r>
          </w:p>
          <w:p w14:paraId="28B27C2E">
            <w:pPr>
              <w:keepNext w:val="0"/>
              <w:keepLines w:val="0"/>
              <w:pageBreakBefore w:val="0"/>
              <w:kinsoku/>
              <w:overflowPunct/>
              <w:topLinePunct w:val="0"/>
              <w:bidi w:val="0"/>
              <w:adjustRightInd w:val="0"/>
              <w:snapToGrid/>
              <w:spacing w:line="400" w:lineRule="exact"/>
              <w:jc w:val="center"/>
              <w:textAlignment w:val="baseline"/>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分</w:t>
            </w:r>
          </w:p>
        </w:tc>
        <w:tc>
          <w:tcPr>
            <w:tcW w:w="6873" w:type="dxa"/>
            <w:vAlign w:val="center"/>
          </w:tcPr>
          <w:p w14:paraId="63F2ECCF">
            <w:pPr>
              <w:keepNext w:val="0"/>
              <w:keepLines w:val="0"/>
              <w:pageBreakBefore w:val="0"/>
              <w:kinsoku/>
              <w:overflowPunct/>
              <w:topLinePunct w:val="0"/>
              <w:bidi w:val="0"/>
              <w:adjustRightInd w:val="0"/>
              <w:snapToGrid/>
              <w:spacing w:line="400" w:lineRule="exact"/>
              <w:textAlignment w:val="baseline"/>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合同</w:t>
            </w:r>
            <w:r>
              <w:rPr>
                <w:rFonts w:hint="eastAsia" w:ascii="宋体" w:hAnsi="宋体" w:cs="宋体"/>
                <w:color w:val="auto"/>
                <w:spacing w:val="-6"/>
                <w:szCs w:val="21"/>
                <w:highlight w:val="none"/>
                <w:lang w:val="en-US" w:eastAsia="zh-CN"/>
              </w:rPr>
              <w:t>及</w:t>
            </w:r>
            <w:r>
              <w:rPr>
                <w:rFonts w:hint="eastAsia" w:ascii="宋体" w:hAnsi="宋体" w:eastAsia="宋体" w:cs="宋体"/>
                <w:color w:val="auto"/>
                <w:spacing w:val="-6"/>
                <w:szCs w:val="21"/>
                <w:highlight w:val="none"/>
              </w:rPr>
              <w:t>信息管理</w:t>
            </w:r>
            <w:r>
              <w:rPr>
                <w:rFonts w:hint="eastAsia" w:ascii="宋体" w:hAnsi="宋体" w:eastAsia="宋体" w:cs="宋体"/>
                <w:color w:val="auto"/>
                <w:spacing w:val="-6"/>
                <w:szCs w:val="21"/>
                <w:highlight w:val="none"/>
                <w:lang w:val="en-US" w:eastAsia="zh-CN"/>
              </w:rPr>
              <w:t>方案</w:t>
            </w:r>
            <w:r>
              <w:rPr>
                <w:rFonts w:hint="eastAsia" w:ascii="宋体" w:hAnsi="宋体" w:eastAsia="宋体" w:cs="宋体"/>
                <w:color w:val="auto"/>
                <w:spacing w:val="-6"/>
                <w:szCs w:val="21"/>
                <w:highlight w:val="none"/>
              </w:rPr>
              <w:t>阐述详实具体、可实施性强的为优得</w:t>
            </w:r>
            <w:r>
              <w:rPr>
                <w:rFonts w:hint="eastAsia" w:ascii="宋体" w:hAnsi="宋体" w:cs="宋体"/>
                <w:color w:val="auto"/>
                <w:spacing w:val="-6"/>
                <w:szCs w:val="21"/>
                <w:highlight w:val="none"/>
                <w:lang w:val="en-US" w:eastAsia="zh-CN"/>
              </w:rPr>
              <w:t>4</w:t>
            </w:r>
            <w:r>
              <w:rPr>
                <w:rFonts w:hint="eastAsia" w:ascii="宋体" w:hAnsi="宋体" w:eastAsia="宋体" w:cs="宋体"/>
                <w:color w:val="auto"/>
                <w:spacing w:val="-6"/>
                <w:szCs w:val="21"/>
                <w:highlight w:val="none"/>
              </w:rPr>
              <w:t>分；</w:t>
            </w:r>
          </w:p>
          <w:p w14:paraId="2DAC9262">
            <w:pPr>
              <w:keepNext w:val="0"/>
              <w:keepLines w:val="0"/>
              <w:pageBreakBefore w:val="0"/>
              <w:kinsoku/>
              <w:overflowPunct/>
              <w:topLinePunct w:val="0"/>
              <w:bidi w:val="0"/>
              <w:adjustRightInd w:val="0"/>
              <w:snapToGrid/>
              <w:spacing w:line="400" w:lineRule="exact"/>
              <w:textAlignment w:val="baseline"/>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合同</w:t>
            </w:r>
            <w:r>
              <w:rPr>
                <w:rFonts w:hint="eastAsia" w:ascii="宋体" w:hAnsi="宋体" w:cs="宋体"/>
                <w:color w:val="auto"/>
                <w:spacing w:val="-6"/>
                <w:szCs w:val="21"/>
                <w:highlight w:val="none"/>
                <w:lang w:val="en-US" w:eastAsia="zh-CN"/>
              </w:rPr>
              <w:t>及</w:t>
            </w:r>
            <w:r>
              <w:rPr>
                <w:rFonts w:hint="eastAsia" w:ascii="宋体" w:hAnsi="宋体" w:eastAsia="宋体" w:cs="宋体"/>
                <w:color w:val="auto"/>
                <w:spacing w:val="-6"/>
                <w:szCs w:val="21"/>
                <w:highlight w:val="none"/>
              </w:rPr>
              <w:t>信息管理</w:t>
            </w:r>
            <w:r>
              <w:rPr>
                <w:rFonts w:hint="eastAsia" w:ascii="宋体" w:hAnsi="宋体" w:eastAsia="宋体" w:cs="宋体"/>
                <w:color w:val="auto"/>
                <w:spacing w:val="-6"/>
                <w:szCs w:val="21"/>
                <w:highlight w:val="none"/>
                <w:lang w:val="en-US" w:eastAsia="zh-CN"/>
              </w:rPr>
              <w:t>方案</w:t>
            </w:r>
            <w:r>
              <w:rPr>
                <w:rFonts w:hint="eastAsia" w:ascii="宋体" w:hAnsi="宋体" w:eastAsia="宋体" w:cs="宋体"/>
                <w:color w:val="auto"/>
                <w:szCs w:val="21"/>
                <w:highlight w:val="none"/>
              </w:rPr>
              <w:t>阐述较为详细</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具有可实施性的为良好得</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w:t>
            </w:r>
          </w:p>
          <w:p w14:paraId="52841A5A">
            <w:pPr>
              <w:keepNext w:val="0"/>
              <w:keepLines w:val="0"/>
              <w:pageBreakBefore w:val="0"/>
              <w:kinsoku/>
              <w:overflowPunct/>
              <w:topLinePunct w:val="0"/>
              <w:bidi w:val="0"/>
              <w:adjustRightInd w:val="0"/>
              <w:snapToGrid/>
              <w:spacing w:line="400" w:lineRule="exact"/>
              <w:textAlignment w:val="baseline"/>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合同</w:t>
            </w:r>
            <w:r>
              <w:rPr>
                <w:rFonts w:hint="eastAsia" w:ascii="宋体" w:hAnsi="宋体" w:cs="宋体"/>
                <w:color w:val="auto"/>
                <w:spacing w:val="-6"/>
                <w:szCs w:val="21"/>
                <w:highlight w:val="none"/>
                <w:lang w:val="en-US" w:eastAsia="zh-CN"/>
              </w:rPr>
              <w:t>及</w:t>
            </w:r>
            <w:r>
              <w:rPr>
                <w:rFonts w:hint="eastAsia" w:ascii="宋体" w:hAnsi="宋体" w:eastAsia="宋体" w:cs="宋体"/>
                <w:color w:val="auto"/>
                <w:spacing w:val="-6"/>
                <w:szCs w:val="21"/>
                <w:highlight w:val="none"/>
              </w:rPr>
              <w:t>信息管理</w:t>
            </w:r>
            <w:r>
              <w:rPr>
                <w:rFonts w:hint="eastAsia" w:ascii="宋体" w:hAnsi="宋体" w:eastAsia="宋体" w:cs="宋体"/>
                <w:color w:val="auto"/>
                <w:spacing w:val="-6"/>
                <w:szCs w:val="21"/>
                <w:highlight w:val="none"/>
                <w:lang w:val="en-US" w:eastAsia="zh-CN"/>
              </w:rPr>
              <w:t>方案</w:t>
            </w:r>
            <w:r>
              <w:rPr>
                <w:rFonts w:hint="eastAsia" w:ascii="宋体" w:hAnsi="宋体" w:eastAsia="宋体" w:cs="宋体"/>
                <w:color w:val="auto"/>
                <w:spacing w:val="-6"/>
                <w:szCs w:val="21"/>
                <w:highlight w:val="none"/>
              </w:rPr>
              <w:t>阐述不够详细具体</w:t>
            </w:r>
            <w:r>
              <w:rPr>
                <w:rFonts w:hint="eastAsia" w:ascii="宋体" w:hAnsi="宋体" w:cs="宋体"/>
                <w:color w:val="auto"/>
                <w:spacing w:val="-6"/>
                <w:szCs w:val="21"/>
                <w:highlight w:val="none"/>
                <w:lang w:eastAsia="zh-CN"/>
              </w:rPr>
              <w:t>、</w:t>
            </w:r>
            <w:r>
              <w:rPr>
                <w:rFonts w:hint="eastAsia" w:ascii="宋体" w:hAnsi="宋体" w:eastAsia="宋体" w:cs="宋体"/>
                <w:color w:val="auto"/>
                <w:spacing w:val="-6"/>
                <w:szCs w:val="21"/>
                <w:highlight w:val="none"/>
              </w:rPr>
              <w:t>可实施性一般得1分。</w:t>
            </w:r>
          </w:p>
        </w:tc>
      </w:tr>
      <w:tr w14:paraId="6599B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86" w:type="dxa"/>
            <w:vMerge w:val="continue"/>
            <w:vAlign w:val="center"/>
          </w:tcPr>
          <w:p w14:paraId="0015CD86">
            <w:pPr>
              <w:keepNext w:val="0"/>
              <w:keepLines w:val="0"/>
              <w:pageBreakBefore w:val="0"/>
              <w:kinsoku/>
              <w:overflowPunct/>
              <w:topLinePunct w:val="0"/>
              <w:bidi w:val="0"/>
              <w:adjustRightInd w:val="0"/>
              <w:snapToGrid/>
              <w:spacing w:line="400" w:lineRule="exact"/>
              <w:ind w:firstLine="420" w:firstLineChars="200"/>
              <w:jc w:val="center"/>
              <w:textAlignment w:val="baseline"/>
              <w:rPr>
                <w:rFonts w:hint="eastAsia" w:ascii="宋体" w:hAnsi="宋体" w:eastAsia="宋体" w:cs="宋体"/>
                <w:color w:val="auto"/>
                <w:szCs w:val="21"/>
                <w:highlight w:val="none"/>
              </w:rPr>
            </w:pPr>
          </w:p>
        </w:tc>
        <w:tc>
          <w:tcPr>
            <w:tcW w:w="1680" w:type="dxa"/>
            <w:vAlign w:val="center"/>
          </w:tcPr>
          <w:p w14:paraId="7C1FCFBA">
            <w:pPr>
              <w:keepNext w:val="0"/>
              <w:keepLines w:val="0"/>
              <w:pageBreakBefore w:val="0"/>
              <w:kinsoku/>
              <w:overflowPunct/>
              <w:topLinePunct w:val="0"/>
              <w:bidi w:val="0"/>
              <w:adjustRightInd w:val="0"/>
              <w:snapToGrid/>
              <w:spacing w:line="40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缺陷责任期的监理措施</w:t>
            </w:r>
          </w:p>
          <w:p w14:paraId="72720A0C">
            <w:pPr>
              <w:pStyle w:val="2"/>
              <w:rPr>
                <w:rFonts w:hint="eastAsia" w:eastAsia="宋体"/>
                <w:color w:val="auto"/>
                <w:highlight w:val="none"/>
                <w:lang w:val="en-US" w:eastAsia="zh-CN"/>
              </w:rPr>
            </w:pPr>
            <w:r>
              <w:rPr>
                <w:rFonts w:hint="eastAsia" w:cs="宋体"/>
                <w:color w:val="auto"/>
                <w:szCs w:val="21"/>
                <w:highlight w:val="none"/>
                <w:lang w:val="en-US" w:eastAsia="zh-CN"/>
              </w:rPr>
              <w:t>3</w:t>
            </w:r>
            <w:r>
              <w:rPr>
                <w:rFonts w:hint="eastAsia" w:ascii="宋体" w:hAnsi="宋体" w:cs="宋体"/>
                <w:color w:val="auto"/>
                <w:szCs w:val="21"/>
                <w:highlight w:val="none"/>
                <w:lang w:val="en-US" w:eastAsia="zh-CN"/>
              </w:rPr>
              <w:t>分</w:t>
            </w:r>
          </w:p>
        </w:tc>
        <w:tc>
          <w:tcPr>
            <w:tcW w:w="6873" w:type="dxa"/>
            <w:vAlign w:val="center"/>
          </w:tcPr>
          <w:p w14:paraId="7BBDF61E">
            <w:pPr>
              <w:adjustRightInd w:val="0"/>
              <w:spacing w:line="400" w:lineRule="exact"/>
              <w:textAlignment w:val="baseline"/>
              <w:rPr>
                <w:rFonts w:ascii="宋体" w:cs="宋体"/>
                <w:color w:val="auto"/>
                <w:szCs w:val="21"/>
                <w:highlight w:val="none"/>
              </w:rPr>
            </w:pPr>
            <w:r>
              <w:rPr>
                <w:rFonts w:hint="eastAsia" w:ascii="宋体" w:hAnsi="宋体" w:cs="宋体"/>
                <w:color w:val="auto"/>
                <w:szCs w:val="21"/>
                <w:highlight w:val="none"/>
              </w:rPr>
              <w:t>缺陷责任期的监理措施阐述详实、明确、具体、可实施性强的为优得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18EC7D9A">
            <w:pPr>
              <w:adjustRightInd w:val="0"/>
              <w:spacing w:line="400" w:lineRule="exact"/>
              <w:textAlignment w:val="baseline"/>
              <w:rPr>
                <w:rFonts w:ascii="宋体" w:cs="宋体"/>
                <w:color w:val="auto"/>
                <w:szCs w:val="21"/>
                <w:highlight w:val="none"/>
              </w:rPr>
            </w:pPr>
            <w:r>
              <w:rPr>
                <w:rFonts w:hint="eastAsia" w:ascii="宋体" w:hAnsi="宋体" w:cs="宋体"/>
                <w:color w:val="auto"/>
                <w:szCs w:val="21"/>
                <w:highlight w:val="none"/>
              </w:rPr>
              <w:t>缺陷责任期的监理措施阐述</w:t>
            </w:r>
            <w:r>
              <w:rPr>
                <w:rFonts w:hint="eastAsia" w:ascii="宋体" w:hAnsi="宋体" w:cs="宋体"/>
                <w:color w:val="auto"/>
                <w:szCs w:val="21"/>
                <w:highlight w:val="none"/>
                <w:lang w:val="en-US" w:eastAsia="zh-CN"/>
              </w:rPr>
              <w:t>较为详细、具有</w:t>
            </w:r>
            <w:r>
              <w:rPr>
                <w:rFonts w:hint="eastAsia" w:ascii="宋体" w:hAnsi="宋体" w:cs="宋体"/>
                <w:color w:val="auto"/>
                <w:szCs w:val="21"/>
                <w:highlight w:val="none"/>
              </w:rPr>
              <w:t>可实施性的为</w:t>
            </w:r>
            <w:r>
              <w:rPr>
                <w:rFonts w:hint="eastAsia" w:ascii="宋体" w:hAnsi="宋体" w:cs="宋体"/>
                <w:color w:val="auto"/>
                <w:szCs w:val="21"/>
                <w:highlight w:val="none"/>
                <w:lang w:val="en-US" w:eastAsia="zh-CN"/>
              </w:rPr>
              <w:t>良好</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617EB32F">
            <w:pPr>
              <w:keepNext w:val="0"/>
              <w:keepLines w:val="0"/>
              <w:pageBreakBefore w:val="0"/>
              <w:kinsoku/>
              <w:overflowPunct/>
              <w:topLinePunct w:val="0"/>
              <w:bidi w:val="0"/>
              <w:adjustRightInd w:val="0"/>
              <w:snapToGrid/>
              <w:spacing w:line="400" w:lineRule="exact"/>
              <w:textAlignment w:val="baseline"/>
              <w:rPr>
                <w:rFonts w:hint="eastAsia" w:ascii="宋体" w:hAnsi="宋体" w:eastAsia="宋体" w:cs="宋体"/>
                <w:color w:val="auto"/>
                <w:spacing w:val="-6"/>
                <w:szCs w:val="21"/>
                <w:highlight w:val="none"/>
              </w:rPr>
            </w:pPr>
            <w:r>
              <w:rPr>
                <w:rFonts w:hint="eastAsia" w:ascii="宋体" w:hAnsi="宋体" w:cs="宋体"/>
                <w:color w:val="auto"/>
                <w:szCs w:val="21"/>
                <w:highlight w:val="none"/>
              </w:rPr>
              <w:t>缺陷责任期的监理措施阐述不够详细具体</w:t>
            </w:r>
            <w:r>
              <w:rPr>
                <w:rFonts w:hint="eastAsia" w:ascii="宋体" w:hAnsi="宋体" w:cs="宋体"/>
                <w:color w:val="auto"/>
                <w:szCs w:val="21"/>
                <w:highlight w:val="none"/>
                <w:lang w:eastAsia="zh-CN"/>
              </w:rPr>
              <w:t>、</w:t>
            </w:r>
            <w:r>
              <w:rPr>
                <w:rFonts w:hint="eastAsia" w:ascii="宋体" w:hAnsi="宋体" w:cs="宋体"/>
                <w:color w:val="auto"/>
                <w:szCs w:val="21"/>
                <w:highlight w:val="none"/>
              </w:rPr>
              <w:t>可实施性一般得</w:t>
            </w:r>
            <w:r>
              <w:rPr>
                <w:rFonts w:ascii="宋体" w:hAnsi="宋体" w:cs="宋体"/>
                <w:color w:val="auto"/>
                <w:szCs w:val="21"/>
                <w:highlight w:val="none"/>
              </w:rPr>
              <w:t>1</w:t>
            </w:r>
            <w:r>
              <w:rPr>
                <w:rFonts w:hint="eastAsia" w:ascii="宋体" w:hAnsi="宋体" w:cs="宋体"/>
                <w:color w:val="auto"/>
                <w:szCs w:val="21"/>
                <w:highlight w:val="none"/>
              </w:rPr>
              <w:t>分。</w:t>
            </w:r>
          </w:p>
        </w:tc>
      </w:tr>
      <w:tr w14:paraId="45F29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86" w:type="dxa"/>
            <w:vMerge w:val="continue"/>
            <w:vAlign w:val="center"/>
          </w:tcPr>
          <w:p w14:paraId="3791A7A9">
            <w:pPr>
              <w:keepNext w:val="0"/>
              <w:keepLines w:val="0"/>
              <w:pageBreakBefore w:val="0"/>
              <w:kinsoku/>
              <w:overflowPunct/>
              <w:topLinePunct w:val="0"/>
              <w:bidi w:val="0"/>
              <w:adjustRightInd w:val="0"/>
              <w:snapToGrid/>
              <w:spacing w:line="400" w:lineRule="exact"/>
              <w:ind w:firstLine="420" w:firstLineChars="200"/>
              <w:jc w:val="center"/>
              <w:textAlignment w:val="baseline"/>
              <w:rPr>
                <w:rFonts w:hint="eastAsia" w:ascii="宋体" w:hAnsi="宋体" w:eastAsia="宋体" w:cs="宋体"/>
                <w:color w:val="auto"/>
                <w:szCs w:val="21"/>
                <w:highlight w:val="none"/>
              </w:rPr>
            </w:pPr>
          </w:p>
        </w:tc>
        <w:tc>
          <w:tcPr>
            <w:tcW w:w="1680" w:type="dxa"/>
            <w:vAlign w:val="center"/>
          </w:tcPr>
          <w:p w14:paraId="52B6558C">
            <w:pPr>
              <w:keepNext w:val="0"/>
              <w:keepLines w:val="0"/>
              <w:pageBreakBefore w:val="0"/>
              <w:kinsoku/>
              <w:overflowPunct/>
              <w:topLinePunct w:val="0"/>
              <w:bidi w:val="0"/>
              <w:adjustRightInd w:val="0"/>
              <w:snapToGrid/>
              <w:spacing w:line="400" w:lineRule="exact"/>
              <w:jc w:val="center"/>
              <w:textAlignment w:val="baseline"/>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对本工程监理重点、难点和关键部分的阐明及监理实施意见</w:t>
            </w:r>
          </w:p>
          <w:p w14:paraId="088888F2">
            <w:pPr>
              <w:keepNext w:val="0"/>
              <w:keepLines w:val="0"/>
              <w:pageBreakBefore w:val="0"/>
              <w:kinsoku/>
              <w:overflowPunct/>
              <w:topLinePunct w:val="0"/>
              <w:bidi w:val="0"/>
              <w:adjustRightInd w:val="0"/>
              <w:snapToGrid/>
              <w:spacing w:line="400" w:lineRule="exact"/>
              <w:jc w:val="center"/>
              <w:textAlignment w:val="baseline"/>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分</w:t>
            </w:r>
          </w:p>
        </w:tc>
        <w:tc>
          <w:tcPr>
            <w:tcW w:w="6873" w:type="dxa"/>
            <w:vAlign w:val="center"/>
          </w:tcPr>
          <w:p w14:paraId="2B11F2B9">
            <w:pPr>
              <w:keepNext w:val="0"/>
              <w:keepLines w:val="0"/>
              <w:pageBreakBefore w:val="0"/>
              <w:kinsoku/>
              <w:overflowPunct/>
              <w:topLinePunct w:val="0"/>
              <w:bidi w:val="0"/>
              <w:adjustRightInd w:val="0"/>
              <w:snapToGrid/>
              <w:spacing w:line="400" w:lineRule="exac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重点、难点和关键部分的阐明及监理实施意见阐述贴合项目实际情况、重难点分析和关键工作阐述具有针对性、监理实施意见详实具体、可实施性强的为优得</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分；</w:t>
            </w:r>
          </w:p>
          <w:p w14:paraId="0131763E">
            <w:pPr>
              <w:keepNext w:val="0"/>
              <w:keepLines w:val="0"/>
              <w:pageBreakBefore w:val="0"/>
              <w:kinsoku/>
              <w:overflowPunct/>
              <w:topLinePunct w:val="0"/>
              <w:bidi w:val="0"/>
              <w:adjustRightInd w:val="0"/>
              <w:snapToGrid/>
              <w:spacing w:line="400" w:lineRule="exact"/>
              <w:textAlignment w:val="baseline"/>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重点、难点和关键部分的阐明及监理实施意见阐述</w:t>
            </w:r>
            <w:r>
              <w:rPr>
                <w:rFonts w:hint="eastAsia" w:ascii="宋体" w:hAnsi="宋体" w:cs="宋体"/>
                <w:color w:val="auto"/>
                <w:szCs w:val="21"/>
                <w:highlight w:val="none"/>
                <w:lang w:val="en-US" w:eastAsia="zh-CN"/>
              </w:rPr>
              <w:t>较为详细、具有实施性的为良好得2分；</w:t>
            </w:r>
          </w:p>
          <w:p w14:paraId="413E7A56">
            <w:pPr>
              <w:keepNext w:val="0"/>
              <w:keepLines w:val="0"/>
              <w:pageBreakBefore w:val="0"/>
              <w:kinsoku/>
              <w:overflowPunct/>
              <w:topLinePunct w:val="0"/>
              <w:bidi w:val="0"/>
              <w:adjustRightInd w:val="0"/>
              <w:snapToGrid/>
              <w:spacing w:line="400" w:lineRule="exac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重点、难点和关键部分的阐明及监理实施意见阐述不够详细具体</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可实施性一般得1分。</w:t>
            </w:r>
          </w:p>
        </w:tc>
      </w:tr>
      <w:tr w14:paraId="226A9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086" w:type="dxa"/>
            <w:vMerge w:val="restart"/>
            <w:vAlign w:val="center"/>
          </w:tcPr>
          <w:p w14:paraId="61AA30E4">
            <w:pPr>
              <w:keepNext w:val="0"/>
              <w:keepLines w:val="0"/>
              <w:pageBreakBefore w:val="0"/>
              <w:kinsoku/>
              <w:overflowPunct/>
              <w:topLinePunct w:val="0"/>
              <w:bidi w:val="0"/>
              <w:adjustRightInd w:val="0"/>
              <w:snapToGrid/>
              <w:spacing w:line="400" w:lineRule="exact"/>
              <w:jc w:val="center"/>
              <w:textAlignment w:val="baseline"/>
              <w:rPr>
                <w:rFonts w:hint="eastAsia" w:ascii="宋体" w:hAnsi="宋体" w:eastAsia="宋体" w:cs="宋体"/>
                <w:color w:val="auto"/>
                <w:spacing w:val="-20"/>
                <w:sz w:val="21"/>
                <w:szCs w:val="21"/>
                <w:highlight w:val="none"/>
                <w:lang w:val="en-US" w:eastAsia="zh-CN"/>
              </w:rPr>
            </w:pPr>
            <w:r>
              <w:rPr>
                <w:rFonts w:hint="eastAsia" w:ascii="宋体" w:hAnsi="宋体" w:eastAsia="宋体" w:cs="宋体"/>
                <w:color w:val="auto"/>
                <w:spacing w:val="-20"/>
                <w:sz w:val="21"/>
                <w:szCs w:val="21"/>
                <w:highlight w:val="none"/>
                <w:lang w:val="en-US" w:eastAsia="zh-CN"/>
              </w:rPr>
              <w:t>项目监理</w:t>
            </w:r>
          </w:p>
          <w:p w14:paraId="6B18EBAB">
            <w:pPr>
              <w:keepNext w:val="0"/>
              <w:keepLines w:val="0"/>
              <w:pageBreakBefore w:val="0"/>
              <w:kinsoku/>
              <w:overflowPunct/>
              <w:topLinePunct w:val="0"/>
              <w:bidi w:val="0"/>
              <w:adjustRightInd w:val="0"/>
              <w:snapToGrid/>
              <w:spacing w:line="400" w:lineRule="exact"/>
              <w:jc w:val="center"/>
              <w:textAlignment w:val="baseline"/>
              <w:rPr>
                <w:rFonts w:hint="eastAsia" w:ascii="宋体" w:hAnsi="宋体" w:eastAsia="宋体" w:cs="宋体"/>
                <w:color w:val="auto"/>
                <w:spacing w:val="-20"/>
                <w:sz w:val="21"/>
                <w:szCs w:val="21"/>
                <w:highlight w:val="none"/>
                <w:lang w:val="en-US" w:eastAsia="zh-CN"/>
              </w:rPr>
            </w:pPr>
            <w:r>
              <w:rPr>
                <w:rFonts w:hint="eastAsia" w:ascii="宋体" w:hAnsi="宋体" w:eastAsia="宋体" w:cs="宋体"/>
                <w:color w:val="auto"/>
                <w:spacing w:val="-20"/>
                <w:sz w:val="21"/>
                <w:szCs w:val="21"/>
                <w:highlight w:val="none"/>
                <w:lang w:val="en-US" w:eastAsia="zh-CN"/>
              </w:rPr>
              <w:t>机构</w:t>
            </w:r>
          </w:p>
          <w:p w14:paraId="19F5C55D">
            <w:pPr>
              <w:keepNext w:val="0"/>
              <w:keepLines w:val="0"/>
              <w:pageBreakBefore w:val="0"/>
              <w:kinsoku/>
              <w:overflowPunct/>
              <w:topLinePunct w:val="0"/>
              <w:bidi w:val="0"/>
              <w:adjustRightInd w:val="0"/>
              <w:snapToGrid/>
              <w:spacing w:line="400" w:lineRule="exact"/>
              <w:ind w:firstLine="340" w:firstLineChars="200"/>
              <w:jc w:val="both"/>
              <w:textAlignment w:val="baseline"/>
              <w:rPr>
                <w:rFonts w:hint="eastAsia" w:ascii="宋体" w:hAnsi="宋体" w:eastAsia="宋体" w:cs="宋体"/>
                <w:color w:val="auto"/>
                <w:szCs w:val="21"/>
                <w:highlight w:val="none"/>
              </w:rPr>
            </w:pPr>
            <w:r>
              <w:rPr>
                <w:rFonts w:hint="eastAsia" w:ascii="宋体" w:hAnsi="宋体" w:cs="宋体"/>
                <w:color w:val="auto"/>
                <w:spacing w:val="-20"/>
                <w:sz w:val="21"/>
                <w:szCs w:val="21"/>
                <w:highlight w:val="none"/>
                <w:lang w:val="en-US" w:eastAsia="zh-CN"/>
              </w:rPr>
              <w:t>22</w:t>
            </w:r>
            <w:bookmarkStart w:id="160" w:name="_GoBack"/>
            <w:bookmarkEnd w:id="160"/>
            <w:r>
              <w:rPr>
                <w:rFonts w:hint="eastAsia" w:ascii="宋体" w:hAnsi="宋体" w:eastAsia="宋体" w:cs="宋体"/>
                <w:color w:val="auto"/>
                <w:spacing w:val="-20"/>
                <w:sz w:val="21"/>
                <w:szCs w:val="21"/>
                <w:highlight w:val="none"/>
              </w:rPr>
              <w:t>分</w:t>
            </w:r>
          </w:p>
        </w:tc>
        <w:tc>
          <w:tcPr>
            <w:tcW w:w="1680" w:type="dxa"/>
            <w:vAlign w:val="center"/>
          </w:tcPr>
          <w:p w14:paraId="1033B68B">
            <w:pPr>
              <w:keepNext w:val="0"/>
              <w:keepLines w:val="0"/>
              <w:pageBreakBefore w:val="0"/>
              <w:kinsoku/>
              <w:overflowPunct/>
              <w:topLinePunct w:val="0"/>
              <w:bidi w:val="0"/>
              <w:adjustRightInd w:val="0"/>
              <w:snapToGrid/>
              <w:spacing w:line="400" w:lineRule="exact"/>
              <w:jc w:val="center"/>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总监理工程师</w:t>
            </w:r>
          </w:p>
          <w:p w14:paraId="01C5C9CC">
            <w:pPr>
              <w:pStyle w:val="2"/>
              <w:keepNext w:val="0"/>
              <w:keepLines w:val="0"/>
              <w:pageBreakBefore w:val="0"/>
              <w:kinsoku/>
              <w:overflowPunct/>
              <w:topLinePunct w:val="0"/>
              <w:bidi w:val="0"/>
              <w:snapToGrid/>
              <w:spacing w:line="400" w:lineRule="exact"/>
              <w:ind w:firstLine="630" w:firstLineChars="300"/>
              <w:rPr>
                <w:rFonts w:hint="eastAsia" w:ascii="宋体" w:hAnsi="宋体" w:eastAsia="宋体" w:cs="宋体"/>
                <w:color w:val="auto"/>
                <w:highlight w:val="none"/>
                <w:lang w:val="en-US" w:eastAsia="zh-CN"/>
              </w:rPr>
            </w:pPr>
            <w:r>
              <w:rPr>
                <w:rFonts w:hint="eastAsia" w:cs="宋体"/>
                <w:color w:val="auto"/>
                <w:szCs w:val="21"/>
                <w:highlight w:val="none"/>
                <w:lang w:val="en-US" w:eastAsia="zh-CN"/>
              </w:rPr>
              <w:t>8</w:t>
            </w:r>
            <w:r>
              <w:rPr>
                <w:rFonts w:hint="eastAsia" w:ascii="宋体" w:hAnsi="宋体" w:eastAsia="宋体" w:cs="宋体"/>
                <w:color w:val="auto"/>
                <w:szCs w:val="21"/>
                <w:highlight w:val="none"/>
                <w:lang w:val="en-US" w:eastAsia="zh-CN"/>
              </w:rPr>
              <w:t>分</w:t>
            </w:r>
          </w:p>
        </w:tc>
        <w:tc>
          <w:tcPr>
            <w:tcW w:w="6873" w:type="dxa"/>
            <w:vAlign w:val="center"/>
          </w:tcPr>
          <w:p w14:paraId="42663749">
            <w:pPr>
              <w:keepNext w:val="0"/>
              <w:keepLines w:val="0"/>
              <w:pageBreakBefore w:val="0"/>
              <w:kinsoku/>
              <w:overflowPunct/>
              <w:topLinePunct w:val="0"/>
              <w:bidi w:val="0"/>
              <w:adjustRightInd w:val="0"/>
              <w:snapToGrid/>
              <w:spacing w:line="400" w:lineRule="exact"/>
              <w:textAlignment w:val="baseline"/>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rPr>
              <w:t>1、</w:t>
            </w:r>
            <w:r>
              <w:rPr>
                <w:rFonts w:hint="eastAsia" w:ascii="宋体" w:hAnsi="宋体" w:eastAsia="宋体" w:cs="宋体"/>
                <w:i w:val="0"/>
                <w:iCs w:val="0"/>
                <w:caps w:val="0"/>
                <w:color w:val="auto"/>
                <w:spacing w:val="0"/>
                <w:sz w:val="21"/>
                <w:szCs w:val="21"/>
                <w:highlight w:val="none"/>
                <w:u w:val="none"/>
                <w:shd w:val="clear" w:fill="FFFFFF"/>
              </w:rPr>
              <w:t>项目总监理工程师监理执业年限</w:t>
            </w:r>
            <w:r>
              <w:rPr>
                <w:rFonts w:hint="eastAsia" w:ascii="宋体" w:hAnsi="宋体" w:cs="宋体"/>
                <w:i w:val="0"/>
                <w:iCs w:val="0"/>
                <w:caps w:val="0"/>
                <w:color w:val="auto"/>
                <w:spacing w:val="0"/>
                <w:sz w:val="21"/>
                <w:szCs w:val="21"/>
                <w:highlight w:val="none"/>
                <w:u w:val="none"/>
                <w:shd w:val="clear" w:fill="FFFFFF"/>
                <w:lang w:val="en-US" w:eastAsia="zh-CN"/>
              </w:rPr>
              <w:t>在</w:t>
            </w:r>
            <w:r>
              <w:rPr>
                <w:rFonts w:hint="eastAsia" w:ascii="宋体" w:hAnsi="宋体" w:eastAsia="宋体" w:cs="宋体"/>
                <w:i w:val="0"/>
                <w:iCs w:val="0"/>
                <w:caps w:val="0"/>
                <w:color w:val="auto"/>
                <w:spacing w:val="0"/>
                <w:sz w:val="21"/>
                <w:szCs w:val="21"/>
                <w:highlight w:val="none"/>
                <w:u w:val="none"/>
                <w:shd w:val="clear" w:fill="FFFFFF"/>
              </w:rPr>
              <w:t>10年及以上的得</w:t>
            </w:r>
            <w:r>
              <w:rPr>
                <w:rFonts w:hint="eastAsia" w:ascii="宋体" w:hAnsi="宋体" w:cs="宋体"/>
                <w:i w:val="0"/>
                <w:iCs w:val="0"/>
                <w:caps w:val="0"/>
                <w:color w:val="auto"/>
                <w:spacing w:val="0"/>
                <w:sz w:val="21"/>
                <w:szCs w:val="21"/>
                <w:highlight w:val="none"/>
                <w:u w:val="none"/>
                <w:shd w:val="clear" w:fill="FFFFFF"/>
                <w:lang w:val="en-US" w:eastAsia="zh-CN"/>
              </w:rPr>
              <w:t>4</w:t>
            </w:r>
            <w:r>
              <w:rPr>
                <w:rFonts w:hint="eastAsia" w:ascii="宋体" w:hAnsi="宋体" w:eastAsia="宋体" w:cs="宋体"/>
                <w:i w:val="0"/>
                <w:iCs w:val="0"/>
                <w:caps w:val="0"/>
                <w:color w:val="auto"/>
                <w:spacing w:val="0"/>
                <w:sz w:val="21"/>
                <w:szCs w:val="21"/>
                <w:highlight w:val="none"/>
                <w:u w:val="none"/>
                <w:shd w:val="clear" w:fill="FFFFFF"/>
              </w:rPr>
              <w:t>分，执业年限在5年及以上不满10年的得</w:t>
            </w:r>
            <w:r>
              <w:rPr>
                <w:rFonts w:hint="eastAsia" w:ascii="宋体" w:hAnsi="宋体" w:cs="宋体"/>
                <w:i w:val="0"/>
                <w:iCs w:val="0"/>
                <w:caps w:val="0"/>
                <w:color w:val="auto"/>
                <w:spacing w:val="0"/>
                <w:sz w:val="21"/>
                <w:szCs w:val="21"/>
                <w:highlight w:val="none"/>
                <w:u w:val="none"/>
                <w:shd w:val="clear" w:fill="FFFFFF"/>
                <w:lang w:val="en-US" w:eastAsia="zh-CN"/>
              </w:rPr>
              <w:t>2</w:t>
            </w:r>
            <w:r>
              <w:rPr>
                <w:rFonts w:hint="eastAsia" w:ascii="宋体" w:hAnsi="宋体" w:eastAsia="宋体" w:cs="宋体"/>
                <w:i w:val="0"/>
                <w:iCs w:val="0"/>
                <w:caps w:val="0"/>
                <w:color w:val="auto"/>
                <w:spacing w:val="0"/>
                <w:sz w:val="21"/>
                <w:szCs w:val="21"/>
                <w:highlight w:val="none"/>
                <w:u w:val="none"/>
                <w:shd w:val="clear" w:fill="FFFFFF"/>
              </w:rPr>
              <w:t>分</w:t>
            </w:r>
            <w:r>
              <w:rPr>
                <w:rFonts w:hint="eastAsia" w:ascii="宋体" w:hAnsi="宋体" w:cs="宋体"/>
                <w:i w:val="0"/>
                <w:iCs w:val="0"/>
                <w:caps w:val="0"/>
                <w:color w:val="auto"/>
                <w:spacing w:val="0"/>
                <w:sz w:val="21"/>
                <w:szCs w:val="21"/>
                <w:highlight w:val="none"/>
                <w:u w:val="none"/>
                <w:shd w:val="clear" w:fill="FFFFFF"/>
                <w:lang w:eastAsia="zh-CN"/>
              </w:rPr>
              <w:t>；</w:t>
            </w:r>
            <w:r>
              <w:rPr>
                <w:rFonts w:hint="eastAsia" w:ascii="宋体" w:hAnsi="宋体" w:eastAsia="宋体" w:cs="宋体"/>
                <w:i w:val="0"/>
                <w:iCs w:val="0"/>
                <w:caps w:val="0"/>
                <w:strike w:val="0"/>
                <w:color w:val="auto"/>
                <w:spacing w:val="0"/>
                <w:sz w:val="21"/>
                <w:szCs w:val="21"/>
                <w:highlight w:val="none"/>
                <w:u w:val="none"/>
                <w:shd w:val="clear" w:fill="FFFFFF"/>
              </w:rPr>
              <w:t>执业年限在5年（不含）以下的得</w:t>
            </w:r>
            <w:r>
              <w:rPr>
                <w:rFonts w:hint="eastAsia" w:ascii="宋体" w:hAnsi="宋体" w:cs="宋体"/>
                <w:i w:val="0"/>
                <w:iCs w:val="0"/>
                <w:caps w:val="0"/>
                <w:strike w:val="0"/>
                <w:color w:val="auto"/>
                <w:spacing w:val="0"/>
                <w:sz w:val="21"/>
                <w:szCs w:val="21"/>
                <w:highlight w:val="none"/>
                <w:u w:val="none"/>
                <w:shd w:val="clear" w:fill="FFFFFF"/>
                <w:lang w:val="en-US" w:eastAsia="zh-CN"/>
              </w:rPr>
              <w:t>1</w:t>
            </w:r>
            <w:r>
              <w:rPr>
                <w:rFonts w:hint="eastAsia" w:ascii="宋体" w:hAnsi="宋体" w:eastAsia="宋体" w:cs="宋体"/>
                <w:i w:val="0"/>
                <w:iCs w:val="0"/>
                <w:caps w:val="0"/>
                <w:strike w:val="0"/>
                <w:color w:val="auto"/>
                <w:spacing w:val="0"/>
                <w:sz w:val="21"/>
                <w:szCs w:val="21"/>
                <w:highlight w:val="none"/>
                <w:u w:val="none"/>
                <w:shd w:val="clear" w:fill="FFFFFF"/>
              </w:rPr>
              <w:t>分</w:t>
            </w:r>
            <w:r>
              <w:rPr>
                <w:rFonts w:hint="eastAsia" w:ascii="宋体" w:hAnsi="宋体" w:cs="宋体"/>
                <w:i w:val="0"/>
                <w:iCs w:val="0"/>
                <w:caps w:val="0"/>
                <w:strike w:val="0"/>
                <w:color w:val="auto"/>
                <w:spacing w:val="0"/>
                <w:sz w:val="21"/>
                <w:szCs w:val="21"/>
                <w:highlight w:val="none"/>
                <w:u w:val="none"/>
                <w:shd w:val="clear" w:fill="FFFFFF"/>
                <w:lang w:eastAsia="zh-CN"/>
              </w:rPr>
              <w:t>；</w:t>
            </w:r>
            <w:r>
              <w:rPr>
                <w:rFonts w:hint="eastAsia" w:ascii="宋体" w:hAnsi="宋体" w:eastAsia="宋体" w:cs="宋体"/>
                <w:i w:val="0"/>
                <w:iCs w:val="0"/>
                <w:caps w:val="0"/>
                <w:color w:val="auto"/>
                <w:spacing w:val="0"/>
                <w:sz w:val="21"/>
                <w:szCs w:val="21"/>
                <w:highlight w:val="none"/>
                <w:u w:val="none"/>
                <w:shd w:val="clear" w:fill="FFFFFF"/>
              </w:rPr>
              <w:t>（执业年限以</w:t>
            </w:r>
            <w:r>
              <w:rPr>
                <w:rFonts w:hint="eastAsia" w:ascii="宋体" w:hAnsi="宋体" w:cs="宋体"/>
                <w:i w:val="0"/>
                <w:iCs w:val="0"/>
                <w:caps w:val="0"/>
                <w:color w:val="auto"/>
                <w:spacing w:val="0"/>
                <w:sz w:val="21"/>
                <w:szCs w:val="21"/>
                <w:highlight w:val="none"/>
                <w:u w:val="none"/>
                <w:shd w:val="clear" w:fill="FFFFFF"/>
                <w:lang w:val="en-US" w:eastAsia="zh-CN"/>
              </w:rPr>
              <w:t>国家注册</w:t>
            </w:r>
            <w:r>
              <w:rPr>
                <w:rFonts w:hint="eastAsia" w:ascii="宋体" w:hAnsi="宋体" w:eastAsia="宋体" w:cs="宋体"/>
                <w:i w:val="0"/>
                <w:iCs w:val="0"/>
                <w:caps w:val="0"/>
                <w:color w:val="auto"/>
                <w:spacing w:val="0"/>
                <w:sz w:val="21"/>
                <w:szCs w:val="21"/>
                <w:highlight w:val="none"/>
                <w:u w:val="none"/>
                <w:shd w:val="clear" w:fill="FFFFFF"/>
              </w:rPr>
              <w:t>监理工程师</w:t>
            </w:r>
            <w:r>
              <w:rPr>
                <w:rFonts w:hint="eastAsia" w:ascii="宋体" w:hAnsi="宋体" w:cs="宋体"/>
                <w:i w:val="0"/>
                <w:iCs w:val="0"/>
                <w:caps w:val="0"/>
                <w:color w:val="auto"/>
                <w:spacing w:val="0"/>
                <w:sz w:val="21"/>
                <w:szCs w:val="21"/>
                <w:highlight w:val="none"/>
                <w:u w:val="none"/>
                <w:shd w:val="clear" w:fill="FFFFFF"/>
                <w:lang w:val="en-US" w:eastAsia="zh-CN"/>
              </w:rPr>
              <w:t>执业</w:t>
            </w:r>
            <w:r>
              <w:rPr>
                <w:rFonts w:hint="eastAsia" w:ascii="宋体" w:hAnsi="宋体" w:eastAsia="宋体" w:cs="宋体"/>
                <w:i w:val="0"/>
                <w:iCs w:val="0"/>
                <w:caps w:val="0"/>
                <w:color w:val="auto"/>
                <w:spacing w:val="0"/>
                <w:sz w:val="21"/>
                <w:szCs w:val="21"/>
                <w:highlight w:val="none"/>
                <w:u w:val="none"/>
                <w:shd w:val="clear" w:fill="FFFFFF"/>
              </w:rPr>
              <w:t>资格证批准时间至开标当日日期为准）</w:t>
            </w:r>
          </w:p>
          <w:p w14:paraId="579EB36C">
            <w:pPr>
              <w:keepNext w:val="0"/>
              <w:keepLines w:val="0"/>
              <w:pageBreakBefore w:val="0"/>
              <w:kinsoku/>
              <w:overflowPunct/>
              <w:topLinePunct w:val="0"/>
              <w:bidi w:val="0"/>
              <w:adjustRightInd w:val="0"/>
              <w:snapToGrid/>
              <w:spacing w:line="400" w:lineRule="exac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具备国家注册一级建造师</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市政公用工程</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执业</w:t>
            </w:r>
            <w:r>
              <w:rPr>
                <w:rFonts w:hint="eastAsia" w:ascii="宋体" w:hAnsi="宋体" w:eastAsia="宋体" w:cs="宋体"/>
                <w:color w:val="auto"/>
                <w:szCs w:val="21"/>
                <w:highlight w:val="none"/>
              </w:rPr>
              <w:t>资格</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国家注册</w:t>
            </w:r>
            <w:r>
              <w:rPr>
                <w:rFonts w:hint="eastAsia" w:ascii="宋体" w:hAnsi="宋体" w:cs="宋体"/>
                <w:color w:val="auto"/>
                <w:szCs w:val="21"/>
                <w:highlight w:val="none"/>
                <w:lang w:val="en-US" w:eastAsia="zh-CN"/>
              </w:rPr>
              <w:t>一级</w:t>
            </w:r>
            <w:r>
              <w:rPr>
                <w:rFonts w:hint="eastAsia" w:ascii="宋体" w:hAnsi="宋体" w:cs="宋体"/>
                <w:color w:val="auto"/>
                <w:szCs w:val="21"/>
                <w:highlight w:val="none"/>
              </w:rPr>
              <w:t>造价师执业资格</w:t>
            </w:r>
            <w:r>
              <w:rPr>
                <w:rFonts w:hint="eastAsia" w:ascii="宋体" w:hAnsi="宋体" w:eastAsia="宋体" w:cs="宋体"/>
                <w:color w:val="auto"/>
                <w:szCs w:val="21"/>
                <w:highlight w:val="none"/>
              </w:rPr>
              <w:t>的得</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w:t>
            </w:r>
          </w:p>
          <w:p w14:paraId="5746D706">
            <w:pPr>
              <w:pStyle w:val="2"/>
              <w:keepNext w:val="0"/>
              <w:keepLines w:val="0"/>
              <w:pageBreakBefore w:val="0"/>
              <w:kinsoku/>
              <w:overflowPunct/>
              <w:topLinePunct w:val="0"/>
              <w:bidi w:val="0"/>
              <w:snapToGrid/>
              <w:spacing w:line="400" w:lineRule="exact"/>
              <w:ind w:left="0" w:leftChars="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具备工程建设类高级职称及以上的得</w:t>
            </w:r>
            <w:r>
              <w:rPr>
                <w:rFonts w:hint="eastAsia" w:cs="宋体"/>
                <w:color w:val="auto"/>
                <w:szCs w:val="21"/>
                <w:highlight w:val="none"/>
                <w:lang w:val="en-US" w:eastAsia="zh-CN"/>
              </w:rPr>
              <w:t>2</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p>
        </w:tc>
      </w:tr>
      <w:tr w14:paraId="74E7F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086" w:type="dxa"/>
            <w:vMerge w:val="continue"/>
            <w:vAlign w:val="center"/>
          </w:tcPr>
          <w:p w14:paraId="35977F6B">
            <w:pPr>
              <w:keepNext w:val="0"/>
              <w:keepLines w:val="0"/>
              <w:pageBreakBefore w:val="0"/>
              <w:kinsoku/>
              <w:overflowPunct/>
              <w:topLinePunct w:val="0"/>
              <w:bidi w:val="0"/>
              <w:adjustRightInd w:val="0"/>
              <w:snapToGrid/>
              <w:spacing w:line="400" w:lineRule="exact"/>
              <w:ind w:firstLine="340" w:firstLineChars="200"/>
              <w:jc w:val="both"/>
              <w:textAlignment w:val="baseline"/>
              <w:rPr>
                <w:rFonts w:hint="eastAsia" w:ascii="宋体" w:hAnsi="宋体" w:eastAsia="宋体" w:cs="宋体"/>
                <w:color w:val="auto"/>
                <w:spacing w:val="-20"/>
                <w:sz w:val="21"/>
                <w:szCs w:val="21"/>
                <w:highlight w:val="none"/>
              </w:rPr>
            </w:pPr>
          </w:p>
        </w:tc>
        <w:tc>
          <w:tcPr>
            <w:tcW w:w="1680" w:type="dxa"/>
            <w:vAlign w:val="center"/>
          </w:tcPr>
          <w:p w14:paraId="3590B7A2">
            <w:pPr>
              <w:keepNext w:val="0"/>
              <w:keepLines w:val="0"/>
              <w:pageBreakBefore w:val="0"/>
              <w:kinsoku/>
              <w:overflowPunct/>
              <w:topLinePunct w:val="0"/>
              <w:bidi w:val="0"/>
              <w:adjustRightInd w:val="0"/>
              <w:snapToGrid/>
              <w:spacing w:line="400" w:lineRule="exact"/>
              <w:jc w:val="center"/>
              <w:textAlignment w:val="baseline"/>
              <w:rPr>
                <w:rFonts w:hint="eastAsia" w:ascii="宋体" w:hAnsi="宋体" w:eastAsia="宋体" w:cs="宋体"/>
                <w:color w:val="auto"/>
                <w:spacing w:val="-11"/>
                <w:sz w:val="21"/>
                <w:szCs w:val="21"/>
                <w:highlight w:val="none"/>
                <w:lang w:val="en-US" w:eastAsia="zh-CN"/>
              </w:rPr>
            </w:pPr>
            <w:r>
              <w:rPr>
                <w:rFonts w:hint="eastAsia" w:ascii="宋体" w:hAnsi="宋体" w:eastAsia="宋体" w:cs="宋体"/>
                <w:color w:val="auto"/>
                <w:spacing w:val="-11"/>
                <w:sz w:val="21"/>
                <w:szCs w:val="21"/>
                <w:highlight w:val="none"/>
                <w:lang w:val="en-US" w:eastAsia="zh-CN"/>
              </w:rPr>
              <w:t>专业监理工程师</w:t>
            </w:r>
          </w:p>
          <w:p w14:paraId="01E75CA8">
            <w:pPr>
              <w:pStyle w:val="2"/>
              <w:keepNext w:val="0"/>
              <w:keepLines w:val="0"/>
              <w:pageBreakBefore w:val="0"/>
              <w:kinsoku/>
              <w:overflowPunct/>
              <w:topLinePunct w:val="0"/>
              <w:bidi w:val="0"/>
              <w:snapToGrid/>
              <w:spacing w:line="400" w:lineRule="exact"/>
              <w:rPr>
                <w:rFonts w:hint="eastAsia" w:ascii="宋体" w:hAnsi="宋体" w:eastAsia="宋体" w:cs="宋体"/>
                <w:color w:val="auto"/>
                <w:highlight w:val="none"/>
                <w:lang w:val="en-US" w:eastAsia="zh-CN"/>
              </w:rPr>
            </w:pPr>
            <w:r>
              <w:rPr>
                <w:rFonts w:hint="eastAsia" w:cs="宋体"/>
                <w:color w:val="auto"/>
                <w:spacing w:val="-11"/>
                <w:sz w:val="21"/>
                <w:szCs w:val="21"/>
                <w:highlight w:val="none"/>
                <w:lang w:val="en-US" w:eastAsia="zh-CN"/>
              </w:rPr>
              <w:t>14</w:t>
            </w:r>
            <w:r>
              <w:rPr>
                <w:rFonts w:hint="eastAsia" w:ascii="宋体" w:hAnsi="宋体" w:eastAsia="宋体" w:cs="宋体"/>
                <w:color w:val="auto"/>
                <w:spacing w:val="-11"/>
                <w:sz w:val="21"/>
                <w:szCs w:val="21"/>
                <w:highlight w:val="none"/>
                <w:lang w:val="en-US" w:eastAsia="zh-CN"/>
              </w:rPr>
              <w:t>分</w:t>
            </w:r>
          </w:p>
          <w:p w14:paraId="4581AEEA">
            <w:pPr>
              <w:pStyle w:val="2"/>
              <w:keepNext w:val="0"/>
              <w:keepLines w:val="0"/>
              <w:pageBreakBefore w:val="0"/>
              <w:kinsoku/>
              <w:overflowPunct/>
              <w:topLinePunct w:val="0"/>
              <w:bidi w:val="0"/>
              <w:snapToGrid/>
              <w:spacing w:line="400" w:lineRule="exact"/>
              <w:rPr>
                <w:rFonts w:hint="eastAsia" w:ascii="宋体" w:hAnsi="宋体" w:eastAsia="宋体" w:cs="宋体"/>
                <w:color w:val="auto"/>
                <w:highlight w:val="none"/>
                <w:lang w:val="en-US" w:eastAsia="zh-CN"/>
              </w:rPr>
            </w:pPr>
          </w:p>
        </w:tc>
        <w:tc>
          <w:tcPr>
            <w:tcW w:w="6873" w:type="dxa"/>
            <w:vAlign w:val="center"/>
          </w:tcPr>
          <w:p w14:paraId="1DD427FC">
            <w:pPr>
              <w:pStyle w:val="2"/>
              <w:ind w:firstLine="0" w:firstLineChars="0"/>
              <w:rPr>
                <w:rFonts w:hint="default" w:ascii="宋体" w:hAnsi="宋体" w:eastAsia="宋体" w:cs="Times New Roman"/>
                <w:color w:val="auto"/>
                <w:szCs w:val="28"/>
                <w:highlight w:val="none"/>
                <w:u w:val="none"/>
              </w:rPr>
            </w:pPr>
            <w:r>
              <w:rPr>
                <w:rFonts w:hint="eastAsia" w:cs="宋体"/>
                <w:color w:val="auto"/>
                <w:szCs w:val="21"/>
                <w:highlight w:val="none"/>
                <w:u w:val="none"/>
                <w:lang w:val="en-US" w:eastAsia="zh-CN"/>
              </w:rPr>
              <w:t>1、</w:t>
            </w:r>
            <w:r>
              <w:rPr>
                <w:rFonts w:hint="eastAsia" w:ascii="宋体" w:hAnsi="宋体" w:eastAsia="宋体" w:cs="宋体"/>
                <w:color w:val="auto"/>
                <w:kern w:val="2"/>
                <w:sz w:val="21"/>
                <w:szCs w:val="21"/>
                <w:highlight w:val="none"/>
                <w:u w:val="none"/>
              </w:rPr>
              <w:t>具有国家注册监理工程师</w:t>
            </w:r>
            <w:r>
              <w:rPr>
                <w:rFonts w:hint="eastAsia" w:ascii="宋体" w:hAnsi="宋体" w:cs="宋体"/>
                <w:i w:val="0"/>
                <w:iCs w:val="0"/>
                <w:caps w:val="0"/>
                <w:color w:val="auto"/>
                <w:spacing w:val="0"/>
                <w:sz w:val="21"/>
                <w:szCs w:val="21"/>
                <w:highlight w:val="none"/>
                <w:u w:val="none"/>
                <w:shd w:val="clear" w:fill="FFFFFF"/>
                <w:lang w:val="en-US" w:eastAsia="zh-CN"/>
              </w:rPr>
              <w:t>执业</w:t>
            </w:r>
            <w:r>
              <w:rPr>
                <w:rFonts w:hint="eastAsia" w:ascii="宋体" w:hAnsi="宋体" w:eastAsia="宋体" w:cs="宋体"/>
                <w:i w:val="0"/>
                <w:iCs w:val="0"/>
                <w:caps w:val="0"/>
                <w:color w:val="auto"/>
                <w:spacing w:val="0"/>
                <w:sz w:val="21"/>
                <w:szCs w:val="21"/>
                <w:highlight w:val="none"/>
                <w:u w:val="none"/>
                <w:shd w:val="clear" w:fill="FFFFFF"/>
              </w:rPr>
              <w:t>资格</w:t>
            </w:r>
            <w:r>
              <w:rPr>
                <w:rFonts w:hint="eastAsia" w:ascii="宋体" w:hAnsi="宋体" w:eastAsia="宋体" w:cs="宋体"/>
                <w:color w:val="auto"/>
                <w:kern w:val="2"/>
                <w:sz w:val="21"/>
                <w:szCs w:val="21"/>
                <w:highlight w:val="none"/>
                <w:u w:val="none"/>
              </w:rPr>
              <w:t>的有1人次得</w:t>
            </w:r>
            <w:r>
              <w:rPr>
                <w:rFonts w:hint="eastAsia" w:cs="宋体"/>
                <w:color w:val="auto"/>
                <w:kern w:val="2"/>
                <w:sz w:val="21"/>
                <w:szCs w:val="21"/>
                <w:highlight w:val="none"/>
                <w:u w:val="none"/>
                <w:lang w:val="en-US" w:eastAsia="zh-CN"/>
              </w:rPr>
              <w:t>2</w:t>
            </w:r>
            <w:r>
              <w:rPr>
                <w:rFonts w:hint="eastAsia" w:ascii="宋体" w:hAnsi="宋体" w:eastAsia="宋体" w:cs="宋体"/>
                <w:color w:val="auto"/>
                <w:kern w:val="2"/>
                <w:sz w:val="21"/>
                <w:szCs w:val="21"/>
                <w:highlight w:val="none"/>
                <w:u w:val="none"/>
              </w:rPr>
              <w:t>分，最高</w:t>
            </w:r>
            <w:r>
              <w:rPr>
                <w:rFonts w:hint="eastAsia" w:cs="宋体"/>
                <w:color w:val="auto"/>
                <w:kern w:val="2"/>
                <w:sz w:val="21"/>
                <w:szCs w:val="21"/>
                <w:highlight w:val="none"/>
                <w:u w:val="none"/>
                <w:lang w:val="en-US" w:eastAsia="zh-CN"/>
              </w:rPr>
              <w:t>4</w:t>
            </w:r>
            <w:r>
              <w:rPr>
                <w:rFonts w:hint="eastAsia" w:ascii="宋体" w:hAnsi="宋体" w:eastAsia="宋体" w:cs="宋体"/>
                <w:color w:val="auto"/>
                <w:kern w:val="2"/>
                <w:sz w:val="21"/>
                <w:szCs w:val="21"/>
                <w:highlight w:val="none"/>
                <w:u w:val="none"/>
              </w:rPr>
              <w:t>分</w:t>
            </w:r>
            <w:r>
              <w:rPr>
                <w:rFonts w:hint="eastAsia" w:ascii="宋体" w:hAnsi="宋体" w:eastAsia="宋体" w:cs="宋体"/>
                <w:color w:val="auto"/>
                <w:kern w:val="2"/>
                <w:sz w:val="21"/>
                <w:szCs w:val="21"/>
                <w:highlight w:val="none"/>
                <w:u w:val="none"/>
                <w:lang w:eastAsia="zh-CN"/>
              </w:rPr>
              <w:t>；（</w:t>
            </w:r>
            <w:r>
              <w:rPr>
                <w:rFonts w:hint="eastAsia" w:ascii="宋体" w:hAnsi="宋体" w:eastAsia="宋体" w:cs="宋体"/>
                <w:color w:val="auto"/>
                <w:kern w:val="2"/>
                <w:sz w:val="21"/>
                <w:szCs w:val="21"/>
                <w:highlight w:val="none"/>
                <w:u w:val="none"/>
                <w:lang w:val="en-US" w:eastAsia="zh-CN"/>
              </w:rPr>
              <w:t>同一人不重复计分）</w:t>
            </w:r>
          </w:p>
          <w:p w14:paraId="50C13A3C">
            <w:pPr>
              <w:pStyle w:val="2"/>
              <w:ind w:firstLine="0" w:firstLineChars="0"/>
              <w:rPr>
                <w:rFonts w:hint="eastAsia" w:ascii="宋体" w:hAnsi="宋体" w:cs="宋体"/>
                <w:color w:val="auto"/>
                <w:szCs w:val="21"/>
                <w:highlight w:val="none"/>
                <w:u w:val="none"/>
              </w:rPr>
            </w:pPr>
            <w:r>
              <w:rPr>
                <w:rFonts w:hint="eastAsia" w:ascii="宋体" w:hAnsi="宋体" w:cs="宋体"/>
                <w:color w:val="auto"/>
                <w:szCs w:val="21"/>
                <w:highlight w:val="none"/>
                <w:u w:val="none"/>
                <w:lang w:val="en-US" w:eastAsia="zh-CN"/>
              </w:rPr>
              <w:t>2、</w:t>
            </w:r>
            <w:r>
              <w:rPr>
                <w:rFonts w:hint="eastAsia" w:ascii="宋体" w:hAnsi="宋体" w:cs="宋体"/>
                <w:color w:val="auto"/>
                <w:szCs w:val="21"/>
                <w:highlight w:val="none"/>
                <w:u w:val="none"/>
              </w:rPr>
              <w:t>具有国家注册</w:t>
            </w:r>
            <w:r>
              <w:rPr>
                <w:rFonts w:hint="eastAsia" w:ascii="宋体" w:hAnsi="宋体" w:cs="宋体"/>
                <w:color w:val="auto"/>
                <w:szCs w:val="21"/>
                <w:highlight w:val="none"/>
                <w:u w:val="none"/>
                <w:lang w:val="en-US" w:eastAsia="zh-CN"/>
              </w:rPr>
              <w:t>一级</w:t>
            </w:r>
            <w:r>
              <w:rPr>
                <w:rFonts w:hint="eastAsia" w:ascii="宋体" w:hAnsi="宋体" w:cs="宋体"/>
                <w:color w:val="auto"/>
                <w:szCs w:val="21"/>
                <w:highlight w:val="none"/>
                <w:u w:val="none"/>
              </w:rPr>
              <w:t>造价工程师</w:t>
            </w:r>
            <w:r>
              <w:rPr>
                <w:rFonts w:hint="eastAsia" w:ascii="宋体" w:hAnsi="宋体" w:cs="宋体"/>
                <w:color w:val="auto"/>
                <w:szCs w:val="21"/>
                <w:highlight w:val="none"/>
                <w:u w:val="none"/>
                <w:lang w:val="en-US" w:eastAsia="zh-CN"/>
              </w:rPr>
              <w:t>执业资格</w:t>
            </w:r>
            <w:r>
              <w:rPr>
                <w:rFonts w:hint="eastAsia" w:ascii="宋体" w:hAnsi="宋体" w:cs="宋体"/>
                <w:color w:val="auto"/>
                <w:szCs w:val="21"/>
                <w:highlight w:val="none"/>
                <w:u w:val="none"/>
              </w:rPr>
              <w:t>或</w:t>
            </w:r>
            <w:r>
              <w:rPr>
                <w:rFonts w:hint="eastAsia" w:ascii="宋体" w:hAnsi="宋体" w:cs="宋体"/>
                <w:color w:val="auto"/>
                <w:szCs w:val="21"/>
                <w:highlight w:val="none"/>
                <w:u w:val="none"/>
                <w:lang w:val="en-US" w:eastAsia="zh-CN"/>
              </w:rPr>
              <w:t>国家</w:t>
            </w:r>
            <w:r>
              <w:rPr>
                <w:rFonts w:hint="eastAsia" w:ascii="宋体" w:hAnsi="宋体" w:cs="宋体"/>
                <w:color w:val="auto"/>
                <w:szCs w:val="21"/>
                <w:highlight w:val="none"/>
                <w:u w:val="none"/>
              </w:rPr>
              <w:t>注册一级建造师</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市政公用工程</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u w:val="none"/>
                <w:lang w:val="en-US" w:eastAsia="zh-CN"/>
              </w:rPr>
              <w:t>执业资格</w:t>
            </w:r>
            <w:r>
              <w:rPr>
                <w:rFonts w:hint="eastAsia" w:ascii="宋体" w:hAnsi="宋体" w:cs="宋体"/>
                <w:color w:val="auto"/>
                <w:szCs w:val="21"/>
                <w:highlight w:val="none"/>
                <w:u w:val="none"/>
              </w:rPr>
              <w:t>的有</w:t>
            </w:r>
            <w:r>
              <w:rPr>
                <w:rFonts w:ascii="宋体" w:hAnsi="宋体" w:cs="宋体"/>
                <w:color w:val="auto"/>
                <w:szCs w:val="21"/>
                <w:highlight w:val="none"/>
                <w:u w:val="none"/>
              </w:rPr>
              <w:t>1</w:t>
            </w:r>
            <w:r>
              <w:rPr>
                <w:rFonts w:hint="eastAsia" w:ascii="宋体" w:hAnsi="宋体" w:cs="宋体"/>
                <w:color w:val="auto"/>
                <w:szCs w:val="21"/>
                <w:highlight w:val="none"/>
                <w:u w:val="none"/>
              </w:rPr>
              <w:t>人次得</w:t>
            </w:r>
            <w:r>
              <w:rPr>
                <w:rFonts w:hint="eastAsia" w:cs="宋体"/>
                <w:color w:val="auto"/>
                <w:szCs w:val="21"/>
                <w:highlight w:val="none"/>
                <w:u w:val="none"/>
                <w:lang w:val="en-US" w:eastAsia="zh-CN"/>
              </w:rPr>
              <w:t>2</w:t>
            </w:r>
            <w:r>
              <w:rPr>
                <w:rFonts w:hint="eastAsia" w:ascii="宋体" w:hAnsi="宋体" w:cs="宋体"/>
                <w:color w:val="auto"/>
                <w:szCs w:val="21"/>
                <w:highlight w:val="none"/>
                <w:u w:val="none"/>
              </w:rPr>
              <w:t>分，最高</w:t>
            </w:r>
            <w:r>
              <w:rPr>
                <w:rFonts w:hint="eastAsia" w:cs="宋体"/>
                <w:color w:val="auto"/>
                <w:szCs w:val="21"/>
                <w:highlight w:val="none"/>
                <w:u w:val="none"/>
                <w:lang w:val="en-US" w:eastAsia="zh-CN"/>
              </w:rPr>
              <w:t>4</w:t>
            </w:r>
            <w:r>
              <w:rPr>
                <w:rFonts w:hint="eastAsia" w:ascii="宋体" w:hAnsi="宋体" w:cs="宋体"/>
                <w:color w:val="auto"/>
                <w:szCs w:val="21"/>
                <w:highlight w:val="none"/>
                <w:u w:val="none"/>
              </w:rPr>
              <w:t>分；</w:t>
            </w:r>
            <w:r>
              <w:rPr>
                <w:rFonts w:hint="eastAsia" w:ascii="宋体" w:hAnsi="宋体" w:eastAsia="宋体" w:cs="宋体"/>
                <w:color w:val="auto"/>
                <w:kern w:val="2"/>
                <w:sz w:val="21"/>
                <w:szCs w:val="21"/>
                <w:highlight w:val="none"/>
                <w:u w:val="none"/>
                <w:lang w:eastAsia="zh-CN"/>
              </w:rPr>
              <w:t>（</w:t>
            </w:r>
            <w:r>
              <w:rPr>
                <w:rFonts w:hint="eastAsia" w:ascii="宋体" w:hAnsi="宋体" w:eastAsia="宋体" w:cs="宋体"/>
                <w:color w:val="auto"/>
                <w:kern w:val="2"/>
                <w:sz w:val="21"/>
                <w:szCs w:val="21"/>
                <w:highlight w:val="none"/>
                <w:u w:val="none"/>
                <w:lang w:val="en-US" w:eastAsia="zh-CN"/>
              </w:rPr>
              <w:t>同一人不重复计分）</w:t>
            </w:r>
          </w:p>
          <w:p w14:paraId="0B3C22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bidi w:val="0"/>
              <w:snapToGrid/>
              <w:spacing w:before="0" w:beforeAutospacing="0" w:after="0" w:afterAutospacing="0" w:line="400" w:lineRule="exact"/>
              <w:ind w:left="0" w:right="0" w:firstLine="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3、</w:t>
            </w:r>
            <w:r>
              <w:rPr>
                <w:rFonts w:hint="eastAsia" w:ascii="宋体" w:hAnsi="宋体" w:eastAsia="宋体" w:cs="宋体"/>
                <w:i w:val="0"/>
                <w:iCs w:val="0"/>
                <w:caps w:val="0"/>
                <w:strike w:val="0"/>
                <w:dstrike w:val="0"/>
                <w:color w:val="auto"/>
                <w:spacing w:val="0"/>
                <w:kern w:val="0"/>
                <w:sz w:val="21"/>
                <w:szCs w:val="21"/>
                <w:highlight w:val="none"/>
                <w:shd w:val="clear" w:fill="FFFFFF"/>
                <w:lang w:val="en-US" w:eastAsia="zh-CN" w:bidi="ar"/>
              </w:rPr>
              <w:t>具有国家注册安全工程师（建筑施工安全）的有1人次得</w:t>
            </w:r>
            <w:r>
              <w:rPr>
                <w:rFonts w:hint="eastAsia" w:ascii="宋体" w:hAnsi="宋体" w:cs="宋体"/>
                <w:i w:val="0"/>
                <w:iCs w:val="0"/>
                <w:caps w:val="0"/>
                <w:strike w:val="0"/>
                <w:dstrike w:val="0"/>
                <w:color w:val="auto"/>
                <w:spacing w:val="0"/>
                <w:kern w:val="0"/>
                <w:sz w:val="21"/>
                <w:szCs w:val="21"/>
                <w:highlight w:val="none"/>
                <w:shd w:val="clear" w:fill="FFFFFF"/>
                <w:lang w:val="en-US" w:eastAsia="zh-CN" w:bidi="ar"/>
              </w:rPr>
              <w:t>2</w:t>
            </w:r>
            <w:r>
              <w:rPr>
                <w:rFonts w:hint="eastAsia" w:ascii="宋体" w:hAnsi="宋体" w:eastAsia="宋体" w:cs="宋体"/>
                <w:i w:val="0"/>
                <w:iCs w:val="0"/>
                <w:caps w:val="0"/>
                <w:strike w:val="0"/>
                <w:dstrike w:val="0"/>
                <w:color w:val="auto"/>
                <w:spacing w:val="0"/>
                <w:kern w:val="0"/>
                <w:sz w:val="21"/>
                <w:szCs w:val="21"/>
                <w:highlight w:val="none"/>
                <w:shd w:val="clear" w:fill="FFFFFF"/>
                <w:lang w:val="en-US" w:eastAsia="zh-CN" w:bidi="ar"/>
              </w:rPr>
              <w:t>分，最高</w:t>
            </w:r>
            <w:r>
              <w:rPr>
                <w:rFonts w:hint="eastAsia" w:ascii="宋体" w:hAnsi="宋体" w:cs="宋体"/>
                <w:i w:val="0"/>
                <w:iCs w:val="0"/>
                <w:caps w:val="0"/>
                <w:strike w:val="0"/>
                <w:dstrike w:val="0"/>
                <w:color w:val="auto"/>
                <w:spacing w:val="0"/>
                <w:kern w:val="0"/>
                <w:sz w:val="21"/>
                <w:szCs w:val="21"/>
                <w:highlight w:val="none"/>
                <w:shd w:val="clear" w:fill="FFFFFF"/>
                <w:lang w:val="en-US" w:eastAsia="zh-CN" w:bidi="ar"/>
              </w:rPr>
              <w:t>2</w:t>
            </w:r>
            <w:r>
              <w:rPr>
                <w:rFonts w:hint="eastAsia" w:ascii="宋体" w:hAnsi="宋体" w:eastAsia="宋体" w:cs="宋体"/>
                <w:i w:val="0"/>
                <w:iCs w:val="0"/>
                <w:caps w:val="0"/>
                <w:strike w:val="0"/>
                <w:dstrike w:val="0"/>
                <w:color w:val="auto"/>
                <w:spacing w:val="0"/>
                <w:kern w:val="0"/>
                <w:sz w:val="21"/>
                <w:szCs w:val="21"/>
                <w:highlight w:val="none"/>
                <w:shd w:val="clear" w:fill="FFFFFF"/>
                <w:lang w:val="en-US" w:eastAsia="zh-CN" w:bidi="ar"/>
              </w:rPr>
              <w:t>分；</w:t>
            </w:r>
            <w:r>
              <w:rPr>
                <w:rFonts w:hint="eastAsia" w:ascii="宋体" w:hAnsi="宋体" w:cs="宋体"/>
                <w:i w:val="0"/>
                <w:iCs w:val="0"/>
                <w:caps w:val="0"/>
                <w:strike w:val="0"/>
                <w:dstrike w:val="0"/>
                <w:color w:val="auto"/>
                <w:spacing w:val="0"/>
                <w:kern w:val="0"/>
                <w:sz w:val="21"/>
                <w:szCs w:val="21"/>
                <w:highlight w:val="none"/>
                <w:shd w:val="clear" w:fill="FFFFFF"/>
                <w:lang w:val="en-US" w:eastAsia="zh-CN" w:bidi="ar"/>
              </w:rPr>
              <w:t>（不得在本项目中兼职）</w:t>
            </w:r>
          </w:p>
          <w:p w14:paraId="555166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bidi w:val="0"/>
              <w:snapToGrid/>
              <w:spacing w:before="0" w:beforeAutospacing="0" w:after="0" w:afterAutospacing="0" w:line="400" w:lineRule="exact"/>
              <w:ind w:left="0" w:right="0" w:firstLine="0"/>
              <w:jc w:val="left"/>
              <w:rPr>
                <w:rFonts w:hint="eastAsia" w:ascii="宋体" w:hAnsi="宋体" w:eastAsia="宋体" w:cs="宋体"/>
                <w:color w:val="auto"/>
                <w:szCs w:val="21"/>
                <w:highlight w:val="none"/>
                <w:lang w:val="en-US" w:eastAsia="zh-CN"/>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4</w:t>
            </w:r>
            <w:r>
              <w:rPr>
                <w:rFonts w:hint="eastAsia" w:ascii="宋体" w:hAnsi="宋体" w:cs="宋体"/>
                <w:i w:val="0"/>
                <w:iCs w:val="0"/>
                <w:caps w:val="0"/>
                <w:color w:val="auto"/>
                <w:spacing w:val="0"/>
                <w:kern w:val="0"/>
                <w:sz w:val="21"/>
                <w:szCs w:val="21"/>
                <w:highlight w:val="none"/>
                <w:shd w:val="clear" w:fill="FFFFFF"/>
                <w:lang w:val="en-US" w:eastAsia="zh-CN" w:bidi="ar"/>
              </w:rPr>
              <w:t>、</w:t>
            </w:r>
            <w:r>
              <w:rPr>
                <w:rFonts w:hint="eastAsia" w:ascii="宋体" w:hAnsi="宋体" w:eastAsia="宋体" w:cs="宋体"/>
                <w:i w:val="0"/>
                <w:iCs w:val="0"/>
                <w:caps w:val="0"/>
                <w:color w:val="auto"/>
                <w:spacing w:val="0"/>
                <w:kern w:val="0"/>
                <w:sz w:val="21"/>
                <w:szCs w:val="21"/>
                <w:highlight w:val="none"/>
                <w:shd w:val="clear" w:fill="FFFFFF"/>
                <w:lang w:val="en-US" w:eastAsia="zh-CN" w:bidi="ar"/>
              </w:rPr>
              <w:t>具有工程建设类高级职称及以上的有1人次得2分，最高</w:t>
            </w:r>
            <w:r>
              <w:rPr>
                <w:rFonts w:hint="eastAsia" w:ascii="宋体" w:hAnsi="宋体" w:cs="宋体"/>
                <w:i w:val="0"/>
                <w:iCs w:val="0"/>
                <w:caps w:val="0"/>
                <w:color w:val="auto"/>
                <w:spacing w:val="0"/>
                <w:kern w:val="0"/>
                <w:sz w:val="21"/>
                <w:szCs w:val="21"/>
                <w:highlight w:val="none"/>
                <w:shd w:val="clear" w:fill="FFFFFF"/>
                <w:lang w:val="en-US" w:eastAsia="zh-CN" w:bidi="ar"/>
              </w:rPr>
              <w:t>4</w:t>
            </w:r>
            <w:r>
              <w:rPr>
                <w:rFonts w:hint="eastAsia" w:ascii="宋体" w:hAnsi="宋体" w:eastAsia="宋体" w:cs="宋体"/>
                <w:i w:val="0"/>
                <w:iCs w:val="0"/>
                <w:caps w:val="0"/>
                <w:color w:val="auto"/>
                <w:spacing w:val="0"/>
                <w:kern w:val="0"/>
                <w:sz w:val="21"/>
                <w:szCs w:val="21"/>
                <w:highlight w:val="none"/>
                <w:shd w:val="clear" w:fill="FFFFFF"/>
                <w:lang w:val="en-US" w:eastAsia="zh-CN" w:bidi="ar"/>
              </w:rPr>
              <w:t>分。</w:t>
            </w:r>
          </w:p>
        </w:tc>
      </w:tr>
      <w:tr w14:paraId="43502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86" w:type="dxa"/>
            <w:vMerge w:val="continue"/>
            <w:vAlign w:val="center"/>
          </w:tcPr>
          <w:p w14:paraId="5CDDC0D7">
            <w:pPr>
              <w:keepNext w:val="0"/>
              <w:keepLines w:val="0"/>
              <w:pageBreakBefore w:val="0"/>
              <w:kinsoku/>
              <w:overflowPunct/>
              <w:topLinePunct w:val="0"/>
              <w:bidi w:val="0"/>
              <w:adjustRightInd w:val="0"/>
              <w:snapToGrid/>
              <w:spacing w:line="400" w:lineRule="exact"/>
              <w:jc w:val="center"/>
              <w:textAlignment w:val="baseline"/>
              <w:rPr>
                <w:rFonts w:hint="eastAsia" w:ascii="宋体" w:hAnsi="宋体" w:eastAsia="宋体" w:cs="宋体"/>
                <w:color w:val="auto"/>
                <w:szCs w:val="21"/>
                <w:highlight w:val="none"/>
              </w:rPr>
            </w:pPr>
          </w:p>
        </w:tc>
        <w:tc>
          <w:tcPr>
            <w:tcW w:w="8553" w:type="dxa"/>
            <w:gridSpan w:val="2"/>
            <w:vAlign w:val="center"/>
          </w:tcPr>
          <w:p w14:paraId="1023EEF1">
            <w:pPr>
              <w:keepNext w:val="0"/>
              <w:keepLines w:val="0"/>
              <w:pageBreakBefore w:val="0"/>
              <w:kinsoku/>
              <w:overflowPunct/>
              <w:topLinePunct w:val="0"/>
              <w:bidi w:val="0"/>
              <w:adjustRightInd w:val="0"/>
              <w:snapToGrid/>
              <w:spacing w:line="400" w:lineRule="exac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提供</w:t>
            </w:r>
            <w:r>
              <w:rPr>
                <w:rFonts w:hint="eastAsia" w:ascii="宋体" w:hAnsi="宋体" w:eastAsia="宋体" w:cs="宋体"/>
                <w:color w:val="auto"/>
                <w:szCs w:val="21"/>
                <w:highlight w:val="none"/>
                <w:lang w:val="en-US" w:eastAsia="zh-CN"/>
              </w:rPr>
              <w:t>以上人员</w:t>
            </w:r>
            <w:r>
              <w:rPr>
                <w:rFonts w:hint="eastAsia" w:ascii="宋体" w:hAnsi="宋体" w:eastAsia="宋体" w:cs="宋体"/>
                <w:color w:val="auto"/>
                <w:szCs w:val="21"/>
                <w:highlight w:val="none"/>
              </w:rPr>
              <w:t>相关</w:t>
            </w:r>
            <w:r>
              <w:rPr>
                <w:rFonts w:hint="eastAsia" w:ascii="宋体" w:hAnsi="宋体" w:cs="宋体"/>
                <w:color w:val="auto"/>
                <w:szCs w:val="21"/>
                <w:highlight w:val="none"/>
                <w:lang w:val="en-US" w:eastAsia="zh-CN"/>
              </w:rPr>
              <w:t>有效期内的</w:t>
            </w:r>
            <w:r>
              <w:rPr>
                <w:rFonts w:hint="eastAsia" w:ascii="宋体" w:hAnsi="宋体" w:eastAsia="宋体" w:cs="宋体"/>
                <w:color w:val="auto"/>
                <w:szCs w:val="21"/>
                <w:highlight w:val="none"/>
              </w:rPr>
              <w:t>证书</w:t>
            </w:r>
            <w:r>
              <w:rPr>
                <w:rFonts w:hint="eastAsia" w:ascii="宋体" w:hAnsi="宋体" w:eastAsia="宋体" w:cs="宋体"/>
                <w:color w:val="auto"/>
                <w:szCs w:val="21"/>
                <w:highlight w:val="none"/>
                <w:lang w:val="en-US" w:eastAsia="zh-CN"/>
              </w:rPr>
              <w:t>及</w:t>
            </w:r>
            <w:r>
              <w:rPr>
                <w:rFonts w:hint="eastAsia" w:ascii="宋体" w:hAnsi="宋体" w:cs="宋体"/>
                <w:color w:val="auto"/>
                <w:szCs w:val="21"/>
                <w:highlight w:val="none"/>
                <w:lang w:val="en-US" w:eastAsia="zh-CN"/>
              </w:rPr>
              <w:t>供</w:t>
            </w:r>
            <w:r>
              <w:rPr>
                <w:rFonts w:hint="eastAsia" w:ascii="宋体" w:hAnsi="宋体" w:eastAsia="宋体" w:cs="宋体"/>
                <w:color w:val="auto"/>
                <w:szCs w:val="21"/>
                <w:highlight w:val="none"/>
              </w:rPr>
              <w:t>应商为其缴纳的</w:t>
            </w:r>
            <w:r>
              <w:rPr>
                <w:rFonts w:hint="eastAsia" w:ascii="宋体" w:hAnsi="宋体" w:eastAsia="宋体" w:cs="宋体"/>
                <w:color w:val="auto"/>
                <w:szCs w:val="21"/>
                <w:highlight w:val="none"/>
                <w:lang w:val="en-US" w:eastAsia="zh-CN"/>
              </w:rPr>
              <w:t>近</w:t>
            </w:r>
            <w:r>
              <w:rPr>
                <w:rFonts w:hint="eastAsia" w:ascii="宋体" w:hAnsi="宋体" w:eastAsia="宋体" w:cs="宋体"/>
                <w:color w:val="auto"/>
                <w:szCs w:val="21"/>
                <w:highlight w:val="none"/>
              </w:rPr>
              <w:t>三个月</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月至202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内任意一个月的社保证明</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复印件加盖</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公章。</w:t>
            </w:r>
          </w:p>
          <w:p w14:paraId="0C8EFFDA">
            <w:pPr>
              <w:pStyle w:val="2"/>
              <w:keepNext w:val="0"/>
              <w:keepLines w:val="0"/>
              <w:pageBreakBefore w:val="0"/>
              <w:numPr>
                <w:ilvl w:val="-1"/>
                <w:numId w:val="0"/>
              </w:numPr>
              <w:kinsoku/>
              <w:overflowPunct/>
              <w:topLinePunct w:val="0"/>
              <w:bidi w:val="0"/>
              <w:snapToGrid/>
              <w:spacing w:line="400" w:lineRule="exact"/>
              <w:ind w:firstLine="420" w:firstLineChars="200"/>
              <w:rPr>
                <w:rFonts w:hint="default" w:cs="宋体"/>
                <w:color w:val="auto"/>
                <w:szCs w:val="21"/>
                <w:highlight w:val="none"/>
                <w:u w:val="single"/>
                <w:shd w:val="clear" w:color="auto" w:fill="FFFFFF"/>
                <w:lang w:val="en-US" w:eastAsia="zh-CN"/>
              </w:rPr>
            </w:pPr>
            <w:r>
              <w:rPr>
                <w:rFonts w:hint="eastAsia" w:cs="宋体"/>
                <w:color w:val="auto"/>
                <w:szCs w:val="21"/>
                <w:highlight w:val="none"/>
                <w:lang w:val="en-US" w:eastAsia="zh-CN"/>
              </w:rPr>
              <w:t>2.</w:t>
            </w:r>
            <w:r>
              <w:rPr>
                <w:rFonts w:hint="eastAsia" w:cs="宋体"/>
                <w:color w:val="auto"/>
                <w:szCs w:val="21"/>
                <w:highlight w:val="none"/>
                <w:u w:val="none"/>
                <w:lang w:val="en-US" w:eastAsia="zh-CN"/>
              </w:rPr>
              <w:t>国家</w:t>
            </w:r>
            <w:r>
              <w:rPr>
                <w:rFonts w:hint="eastAsia" w:ascii="宋体" w:hAnsi="宋体" w:eastAsia="宋体" w:cs="宋体"/>
                <w:color w:val="auto"/>
                <w:kern w:val="0"/>
                <w:sz w:val="21"/>
                <w:szCs w:val="21"/>
                <w:highlight w:val="none"/>
                <w:u w:val="none"/>
                <w:lang w:val="en-US" w:eastAsia="zh-CN" w:bidi="ar-SA"/>
              </w:rPr>
              <w:t>注册一级造价</w:t>
            </w:r>
            <w:r>
              <w:rPr>
                <w:rFonts w:hint="eastAsia" w:cs="宋体"/>
                <w:color w:val="auto"/>
                <w:kern w:val="0"/>
                <w:sz w:val="21"/>
                <w:szCs w:val="21"/>
                <w:highlight w:val="none"/>
                <w:u w:val="none"/>
                <w:lang w:val="en-US" w:eastAsia="zh-CN" w:bidi="ar-SA"/>
              </w:rPr>
              <w:t>工程师执业资格</w:t>
            </w:r>
            <w:r>
              <w:rPr>
                <w:rFonts w:hint="eastAsia" w:ascii="宋体" w:hAnsi="宋体" w:cs="宋体"/>
                <w:color w:val="auto"/>
                <w:szCs w:val="21"/>
                <w:highlight w:val="none"/>
                <w:u w:val="none"/>
                <w:shd w:val="clear" w:color="auto" w:fill="FFFFFF"/>
              </w:rPr>
              <w:t>在《造价工程师职业资格制度规定》《造价工程师职业资格考试办法》（建人〔2018〕67号）规定实施前，取得的造价工程师执业资格证书与一级造价工程师职业资格证书效用等同</w:t>
            </w:r>
            <w:r>
              <w:rPr>
                <w:rFonts w:hint="eastAsia" w:cs="宋体"/>
                <w:color w:val="auto"/>
                <w:szCs w:val="21"/>
                <w:highlight w:val="none"/>
                <w:u w:val="none"/>
                <w:shd w:val="clear" w:color="auto" w:fill="FFFFFF"/>
                <w:lang w:eastAsia="zh-CN"/>
              </w:rPr>
              <w:t>。</w:t>
            </w:r>
          </w:p>
        </w:tc>
      </w:tr>
      <w:tr w14:paraId="1440C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86" w:type="dxa"/>
            <w:vAlign w:val="center"/>
          </w:tcPr>
          <w:p w14:paraId="3D0FA236">
            <w:pPr>
              <w:keepNext w:val="0"/>
              <w:keepLines w:val="0"/>
              <w:pageBreakBefore w:val="0"/>
              <w:kinsoku/>
              <w:overflowPunct/>
              <w:topLinePunct w:val="0"/>
              <w:bidi w:val="0"/>
              <w:adjustRightInd w:val="0"/>
              <w:snapToGrid/>
              <w:spacing w:line="400" w:lineRule="exact"/>
              <w:jc w:val="center"/>
              <w:textAlignment w:val="baseline"/>
              <w:rPr>
                <w:rFonts w:hint="eastAsia" w:ascii="宋体" w:hAnsi="宋体" w:eastAsia="宋体" w:cs="宋体"/>
                <w:color w:val="auto"/>
                <w:spacing w:val="-20"/>
                <w:sz w:val="21"/>
                <w:szCs w:val="21"/>
                <w:highlight w:val="none"/>
                <w:lang w:val="en-US" w:eastAsia="zh-CN"/>
              </w:rPr>
            </w:pPr>
            <w:r>
              <w:rPr>
                <w:rFonts w:hint="eastAsia" w:ascii="宋体" w:hAnsi="宋体" w:eastAsia="宋体" w:cs="宋体"/>
                <w:color w:val="auto"/>
                <w:spacing w:val="-20"/>
                <w:sz w:val="21"/>
                <w:szCs w:val="21"/>
                <w:highlight w:val="none"/>
                <w:lang w:val="en-US" w:eastAsia="zh-CN"/>
              </w:rPr>
              <w:t>拟投入现场的设备、检测仪器</w:t>
            </w:r>
          </w:p>
          <w:p w14:paraId="06F604D8">
            <w:pPr>
              <w:keepNext w:val="0"/>
              <w:keepLines w:val="0"/>
              <w:pageBreakBefore w:val="0"/>
              <w:kinsoku/>
              <w:overflowPunct/>
              <w:topLinePunct w:val="0"/>
              <w:bidi w:val="0"/>
              <w:adjustRightInd w:val="0"/>
              <w:snapToGrid/>
              <w:spacing w:line="400" w:lineRule="exact"/>
              <w:jc w:val="center"/>
              <w:textAlignment w:val="baseline"/>
              <w:rPr>
                <w:rFonts w:hint="eastAsia" w:ascii="宋体" w:hAnsi="宋体" w:eastAsia="宋体" w:cs="宋体"/>
                <w:color w:val="auto"/>
                <w:szCs w:val="21"/>
                <w:highlight w:val="none"/>
              </w:rPr>
            </w:pPr>
            <w:r>
              <w:rPr>
                <w:rFonts w:hint="eastAsia" w:ascii="宋体" w:hAnsi="宋体" w:cs="宋体"/>
                <w:color w:val="auto"/>
                <w:spacing w:val="-20"/>
                <w:sz w:val="21"/>
                <w:szCs w:val="21"/>
                <w:highlight w:val="none"/>
                <w:lang w:val="en-US" w:eastAsia="zh-CN"/>
              </w:rPr>
              <w:t>10</w:t>
            </w:r>
            <w:r>
              <w:rPr>
                <w:rFonts w:hint="eastAsia" w:ascii="宋体" w:hAnsi="宋体" w:eastAsia="宋体" w:cs="宋体"/>
                <w:color w:val="auto"/>
                <w:spacing w:val="-20"/>
                <w:sz w:val="21"/>
                <w:szCs w:val="21"/>
                <w:highlight w:val="none"/>
                <w:lang w:val="en-US" w:eastAsia="zh-CN"/>
              </w:rPr>
              <w:t>分</w:t>
            </w:r>
          </w:p>
        </w:tc>
        <w:tc>
          <w:tcPr>
            <w:tcW w:w="8553" w:type="dxa"/>
            <w:gridSpan w:val="2"/>
            <w:vAlign w:val="center"/>
          </w:tcPr>
          <w:p w14:paraId="0CCABFDF">
            <w:pPr>
              <w:keepNext w:val="0"/>
              <w:keepLines w:val="0"/>
              <w:pageBreakBefore w:val="0"/>
              <w:kinsoku/>
              <w:overflowPunct/>
              <w:topLinePunct w:val="0"/>
              <w:bidi w:val="0"/>
              <w:adjustRightInd w:val="0"/>
              <w:snapToGrid/>
              <w:spacing w:line="400" w:lineRule="exact"/>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工程所需主要检测设备齐全：水准仪、</w:t>
            </w:r>
            <w:r>
              <w:rPr>
                <w:rFonts w:hint="eastAsia" w:ascii="宋体" w:hAnsi="宋体" w:cs="宋体"/>
                <w:color w:val="auto"/>
                <w:szCs w:val="21"/>
                <w:highlight w:val="none"/>
                <w:lang w:val="en-US" w:eastAsia="zh-CN"/>
              </w:rPr>
              <w:t>GPS、回弹仪、</w:t>
            </w:r>
            <w:r>
              <w:rPr>
                <w:rFonts w:hint="eastAsia" w:ascii="宋体" w:hAnsi="宋体" w:cs="宋体"/>
                <w:strike w:val="0"/>
                <w:color w:val="auto"/>
                <w:szCs w:val="21"/>
                <w:highlight w:val="none"/>
                <w:lang w:val="en-US" w:eastAsia="zh-CN"/>
              </w:rPr>
              <w:t>测距仪</w:t>
            </w:r>
            <w:r>
              <w:rPr>
                <w:rFonts w:hint="eastAsia" w:ascii="宋体" w:hAnsi="宋体" w:eastAsia="宋体" w:cs="宋体"/>
                <w:strike w:val="0"/>
                <w:color w:val="auto"/>
                <w:szCs w:val="21"/>
                <w:highlight w:val="none"/>
                <w:lang w:val="en-US" w:eastAsia="zh-CN"/>
              </w:rPr>
              <w:t>、接地电阻测试仪</w:t>
            </w:r>
            <w:r>
              <w:rPr>
                <w:rFonts w:hint="eastAsia" w:ascii="宋体" w:hAnsi="宋体" w:eastAsia="宋体" w:cs="宋体"/>
                <w:color w:val="auto"/>
                <w:szCs w:val="21"/>
                <w:highlight w:val="none"/>
                <w:lang w:val="en-US" w:eastAsia="zh-CN"/>
              </w:rPr>
              <w:t>，齐全得</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val="en-US" w:eastAsia="zh-CN"/>
              </w:rPr>
              <w:t>分，</w:t>
            </w:r>
            <w:r>
              <w:rPr>
                <w:rFonts w:hint="eastAsia" w:ascii="宋体" w:hAnsi="宋体" w:cs="宋体"/>
                <w:color w:val="auto"/>
                <w:szCs w:val="21"/>
                <w:highlight w:val="none"/>
                <w:lang w:val="en-US" w:eastAsia="zh-CN"/>
              </w:rPr>
              <w:t>缺</w:t>
            </w:r>
            <w:r>
              <w:rPr>
                <w:rFonts w:hint="eastAsia" w:ascii="宋体" w:hAnsi="宋体" w:eastAsia="宋体" w:cs="宋体"/>
                <w:color w:val="auto"/>
                <w:szCs w:val="21"/>
                <w:highlight w:val="none"/>
                <w:lang w:val="en-US" w:eastAsia="zh-CN"/>
              </w:rPr>
              <w:t>一项扣</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分，扣完为止。</w:t>
            </w:r>
          </w:p>
          <w:p w14:paraId="774F3177">
            <w:pPr>
              <w:keepNext w:val="0"/>
              <w:keepLines w:val="0"/>
              <w:pageBreakBefore w:val="0"/>
              <w:kinsoku/>
              <w:overflowPunct/>
              <w:topLinePunct w:val="0"/>
              <w:bidi w:val="0"/>
              <w:adjustRightInd w:val="0"/>
              <w:snapToGrid/>
              <w:spacing w:line="400" w:lineRule="exac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注：检测仪器需提供有效期内</w:t>
            </w:r>
            <w:r>
              <w:rPr>
                <w:rFonts w:hint="eastAsia" w:ascii="宋体" w:hAnsi="宋体" w:cs="宋体"/>
                <w:color w:val="auto"/>
                <w:szCs w:val="21"/>
                <w:highlight w:val="none"/>
                <w:lang w:val="en-US" w:eastAsia="zh-CN"/>
              </w:rPr>
              <w:t>检</w:t>
            </w:r>
            <w:r>
              <w:rPr>
                <w:rFonts w:hint="eastAsia" w:ascii="宋体" w:hAnsi="宋体" w:eastAsia="宋体" w:cs="宋体"/>
                <w:color w:val="auto"/>
                <w:szCs w:val="21"/>
                <w:highlight w:val="none"/>
                <w:lang w:val="en-US" w:eastAsia="zh-CN"/>
              </w:rPr>
              <w:t>定证书</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复印件加盖供应商公章。</w:t>
            </w:r>
          </w:p>
        </w:tc>
      </w:tr>
      <w:tr w14:paraId="7F00E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086" w:type="dxa"/>
            <w:vAlign w:val="center"/>
          </w:tcPr>
          <w:p w14:paraId="0CE6AC1C">
            <w:pPr>
              <w:keepNext w:val="0"/>
              <w:keepLines w:val="0"/>
              <w:pageBreakBefore w:val="0"/>
              <w:kinsoku/>
              <w:overflowPunct/>
              <w:topLinePunct w:val="0"/>
              <w:bidi w:val="0"/>
              <w:adjustRightInd w:val="0"/>
              <w:snapToGrid/>
              <w:spacing w:line="400" w:lineRule="exact"/>
              <w:jc w:val="center"/>
              <w:textAlignment w:val="baseline"/>
              <w:rPr>
                <w:rFonts w:hint="eastAsia" w:ascii="宋体" w:hAnsi="宋体" w:eastAsia="宋体" w:cs="宋体"/>
                <w:color w:val="auto"/>
                <w:szCs w:val="21"/>
                <w:highlight w:val="none"/>
              </w:rPr>
            </w:pPr>
          </w:p>
          <w:p w14:paraId="49811F84">
            <w:pPr>
              <w:keepNext w:val="0"/>
              <w:keepLines w:val="0"/>
              <w:pageBreakBefore w:val="0"/>
              <w:kinsoku/>
              <w:overflowPunct/>
              <w:topLinePunct w:val="0"/>
              <w:bidi w:val="0"/>
              <w:adjustRightInd w:val="0"/>
              <w:snapToGrid/>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业绩</w:t>
            </w:r>
          </w:p>
          <w:p w14:paraId="6F5DB30B">
            <w:pPr>
              <w:keepNext w:val="0"/>
              <w:keepLines w:val="0"/>
              <w:pageBreakBefore w:val="0"/>
              <w:kinsoku/>
              <w:overflowPunct/>
              <w:topLinePunct w:val="0"/>
              <w:bidi w:val="0"/>
              <w:adjustRightInd w:val="0"/>
              <w:snapToGrid/>
              <w:spacing w:line="400" w:lineRule="exact"/>
              <w:jc w:val="center"/>
              <w:textAlignment w:val="baseline"/>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分</w:t>
            </w:r>
          </w:p>
        </w:tc>
        <w:tc>
          <w:tcPr>
            <w:tcW w:w="8553" w:type="dxa"/>
            <w:gridSpan w:val="2"/>
            <w:vAlign w:val="center"/>
          </w:tcPr>
          <w:p w14:paraId="55A2B020">
            <w:pPr>
              <w:keepNext w:val="0"/>
              <w:keepLines w:val="0"/>
              <w:pageBreakBefore w:val="0"/>
              <w:kinsoku/>
              <w:overflowPunct/>
              <w:topLinePunct w:val="0"/>
              <w:bidi w:val="0"/>
              <w:adjustRightInd w:val="0"/>
              <w:snapToGrid/>
              <w:spacing w:line="400" w:lineRule="exac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1、企业自202</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年1月1日以来承担过类似</w:t>
            </w:r>
            <w:r>
              <w:rPr>
                <w:rFonts w:hint="eastAsia" w:ascii="宋体" w:hAnsi="宋体" w:eastAsia="宋体" w:cs="宋体"/>
                <w:color w:val="auto"/>
                <w:szCs w:val="21"/>
                <w:highlight w:val="none"/>
                <w:lang w:val="en-US" w:eastAsia="zh-CN"/>
              </w:rPr>
              <w:t>市政公用工程</w:t>
            </w:r>
            <w:r>
              <w:rPr>
                <w:rFonts w:hint="eastAsia" w:ascii="宋体" w:hAnsi="宋体" w:eastAsia="宋体" w:cs="宋体"/>
                <w:color w:val="auto"/>
                <w:szCs w:val="21"/>
                <w:highlight w:val="none"/>
              </w:rPr>
              <w:t>监理业绩的，每承担过一个得2分，最高得</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分。</w:t>
            </w:r>
          </w:p>
          <w:p w14:paraId="6352675A">
            <w:pPr>
              <w:keepNext w:val="0"/>
              <w:keepLines w:val="0"/>
              <w:pageBreakBefore w:val="0"/>
              <w:kinsoku/>
              <w:overflowPunct/>
              <w:topLinePunct w:val="0"/>
              <w:bidi w:val="0"/>
              <w:adjustRightInd w:val="0"/>
              <w:snapToGrid/>
              <w:spacing w:line="400" w:lineRule="exac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2、拟派项目</w:t>
            </w:r>
            <w:r>
              <w:rPr>
                <w:rFonts w:hint="eastAsia" w:ascii="宋体" w:hAnsi="宋体" w:eastAsia="宋体" w:cs="宋体"/>
                <w:color w:val="auto"/>
                <w:szCs w:val="21"/>
                <w:highlight w:val="none"/>
                <w:lang w:val="en-US" w:eastAsia="zh-CN"/>
              </w:rPr>
              <w:t>总监理工程师</w:t>
            </w:r>
            <w:r>
              <w:rPr>
                <w:rFonts w:hint="eastAsia" w:ascii="宋体" w:hAnsi="宋体" w:eastAsia="宋体" w:cs="宋体"/>
                <w:color w:val="auto"/>
                <w:szCs w:val="21"/>
                <w:highlight w:val="none"/>
              </w:rPr>
              <w:t>自202</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年1月1日以来</w:t>
            </w:r>
            <w:r>
              <w:rPr>
                <w:rFonts w:hint="eastAsia" w:ascii="宋体" w:hAnsi="宋体" w:eastAsia="宋体" w:cs="宋体"/>
                <w:color w:val="auto"/>
                <w:szCs w:val="21"/>
                <w:highlight w:val="none"/>
                <w:lang w:val="en-US" w:eastAsia="zh-CN"/>
              </w:rPr>
              <w:t>担任过</w:t>
            </w:r>
            <w:r>
              <w:rPr>
                <w:rFonts w:hint="eastAsia" w:ascii="宋体" w:hAnsi="宋体" w:eastAsia="宋体" w:cs="宋体"/>
                <w:color w:val="auto"/>
                <w:szCs w:val="21"/>
                <w:highlight w:val="none"/>
              </w:rPr>
              <w:t>类似</w:t>
            </w:r>
            <w:r>
              <w:rPr>
                <w:rFonts w:hint="eastAsia" w:ascii="宋体" w:hAnsi="宋体" w:eastAsia="宋体" w:cs="宋体"/>
                <w:color w:val="auto"/>
                <w:szCs w:val="21"/>
                <w:highlight w:val="none"/>
                <w:lang w:val="en-US" w:eastAsia="zh-CN"/>
              </w:rPr>
              <w:t>市政公用工程总监理工程师岗位</w:t>
            </w:r>
            <w:r>
              <w:rPr>
                <w:rFonts w:hint="eastAsia" w:ascii="宋体" w:hAnsi="宋体" w:eastAsia="宋体" w:cs="宋体"/>
                <w:color w:val="auto"/>
                <w:szCs w:val="21"/>
                <w:highlight w:val="none"/>
              </w:rPr>
              <w:t>的，每承担过一个得2分，最高得</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w:t>
            </w:r>
          </w:p>
          <w:p w14:paraId="3AFD0C9A">
            <w:pPr>
              <w:keepNext w:val="0"/>
              <w:keepLines w:val="0"/>
              <w:pageBreakBefore w:val="0"/>
              <w:kinsoku/>
              <w:overflowPunct/>
              <w:topLinePunct w:val="0"/>
              <w:bidi w:val="0"/>
              <w:adjustRightInd w:val="0"/>
              <w:snapToGrid/>
              <w:spacing w:line="400" w:lineRule="exact"/>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注：</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提供</w:t>
            </w:r>
            <w:r>
              <w:rPr>
                <w:rFonts w:hint="eastAsia" w:ascii="宋体" w:hAnsi="宋体" w:eastAsia="宋体" w:cs="宋体"/>
                <w:color w:val="auto"/>
                <w:szCs w:val="21"/>
                <w:highlight w:val="none"/>
              </w:rPr>
              <w:t>类似业绩以中标通知书</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成交通知书</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、监理合同</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或监理业务的全过程咨询合同</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及竣工验收证明</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复印件</w:t>
            </w:r>
            <w:r>
              <w:rPr>
                <w:rFonts w:hint="eastAsia" w:ascii="宋体" w:hAnsi="宋体" w:eastAsia="宋体" w:cs="宋体"/>
                <w:color w:val="auto"/>
                <w:szCs w:val="21"/>
                <w:highlight w:val="none"/>
                <w:lang w:val="en-US" w:eastAsia="zh-CN"/>
              </w:rPr>
              <w:t>加盖供应商公章</w:t>
            </w:r>
            <w:r>
              <w:rPr>
                <w:rFonts w:hint="eastAsia" w:ascii="宋体" w:hAnsi="宋体" w:eastAsia="宋体" w:cs="宋体"/>
                <w:color w:val="auto"/>
                <w:szCs w:val="21"/>
                <w:highlight w:val="none"/>
              </w:rPr>
              <w:t>，时间以竣工验收证明为准。</w:t>
            </w:r>
          </w:p>
          <w:p w14:paraId="1B6CAE8A">
            <w:pPr>
              <w:keepNext w:val="0"/>
              <w:keepLines w:val="0"/>
              <w:pageBreakBefore w:val="0"/>
              <w:kinsoku/>
              <w:overflowPunct/>
              <w:topLinePunct w:val="0"/>
              <w:bidi w:val="0"/>
              <w:adjustRightInd w:val="0"/>
              <w:snapToGrid/>
              <w:spacing w:line="400" w:lineRule="exact"/>
              <w:ind w:firstLine="420" w:firstLineChars="200"/>
              <w:textAlignment w:val="baseline"/>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若企业业绩和总</w:t>
            </w:r>
            <w:r>
              <w:rPr>
                <w:rFonts w:hint="eastAsia" w:ascii="宋体" w:hAnsi="宋体" w:cs="宋体"/>
                <w:color w:val="auto"/>
                <w:szCs w:val="21"/>
                <w:highlight w:val="none"/>
                <w:lang w:val="en-US" w:eastAsia="zh-CN"/>
              </w:rPr>
              <w:t>监理工程师</w:t>
            </w:r>
            <w:r>
              <w:rPr>
                <w:rFonts w:hint="eastAsia" w:ascii="宋体" w:hAnsi="宋体" w:eastAsia="宋体" w:cs="宋体"/>
                <w:color w:val="auto"/>
                <w:szCs w:val="21"/>
                <w:highlight w:val="none"/>
              </w:rPr>
              <w:t>业绩为同一业绩的</w:t>
            </w:r>
            <w:r>
              <w:rPr>
                <w:rFonts w:hint="eastAsia" w:ascii="宋体" w:hAnsi="宋体" w:eastAsia="宋体" w:cs="宋体"/>
                <w:color w:val="auto"/>
                <w:szCs w:val="21"/>
                <w:highlight w:val="none"/>
                <w:lang w:val="en-US" w:eastAsia="zh-CN"/>
              </w:rPr>
              <w:t>不</w:t>
            </w:r>
            <w:r>
              <w:rPr>
                <w:rFonts w:hint="eastAsia" w:ascii="宋体" w:hAnsi="宋体" w:eastAsia="宋体" w:cs="宋体"/>
                <w:color w:val="auto"/>
                <w:szCs w:val="21"/>
                <w:highlight w:val="none"/>
              </w:rPr>
              <w:t>可重复计分。</w:t>
            </w:r>
          </w:p>
          <w:p w14:paraId="5FA74EF8">
            <w:pPr>
              <w:keepNext w:val="0"/>
              <w:keepLines w:val="0"/>
              <w:pageBreakBefore w:val="0"/>
              <w:kinsoku/>
              <w:overflowPunct/>
              <w:topLinePunct w:val="0"/>
              <w:bidi w:val="0"/>
              <w:adjustRightInd w:val="0"/>
              <w:snapToGrid/>
              <w:spacing w:line="400" w:lineRule="exac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总监理工程师相关业绩不是供应商承担的工程项目，不得作为总监理工程师类似工程业绩。</w:t>
            </w:r>
          </w:p>
          <w:p w14:paraId="72DE49F8">
            <w:pPr>
              <w:keepNext w:val="0"/>
              <w:keepLines w:val="0"/>
              <w:pageBreakBefore w:val="0"/>
              <w:kinsoku/>
              <w:overflowPunct/>
              <w:topLinePunct w:val="0"/>
              <w:bidi w:val="0"/>
              <w:adjustRightInd w:val="0"/>
              <w:snapToGrid/>
              <w:spacing w:line="400" w:lineRule="exact"/>
              <w:ind w:firstLine="420" w:firstLineChars="200"/>
              <w:textAlignment w:val="baseline"/>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总监理工程师发生过变更的，该工程的业绩属于变更后的总监理工程师，供应商应当提供经备案的总监理工程师变更证明。</w:t>
            </w:r>
          </w:p>
          <w:p w14:paraId="4AEA2025">
            <w:pPr>
              <w:keepNext w:val="0"/>
              <w:keepLines w:val="0"/>
              <w:pageBreakBefore w:val="0"/>
              <w:kinsoku/>
              <w:overflowPunct/>
              <w:topLinePunct w:val="0"/>
              <w:bidi w:val="0"/>
              <w:adjustRightInd w:val="0"/>
              <w:snapToGrid/>
              <w:spacing w:line="400" w:lineRule="exact"/>
              <w:ind w:firstLine="420" w:firstLineChars="200"/>
              <w:textAlignment w:val="baseline"/>
              <w:rPr>
                <w:rFonts w:hint="eastAsia" w:ascii="宋体" w:hAnsi="宋体" w:eastAsia="宋体" w:cs="宋体"/>
                <w:color w:val="auto"/>
                <w:highlight w:val="none"/>
                <w:lang w:val="en-US"/>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企业业绩和总监理工程师业绩为包含工程监理的全过程工程咨询服务的予以认可；总监理工程师业绩还需提供监理合同信息表或其他能够证明其担任总监理工程师岗位的材料。</w:t>
            </w:r>
          </w:p>
        </w:tc>
      </w:tr>
      <w:tr w14:paraId="0287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086" w:type="dxa"/>
            <w:vAlign w:val="center"/>
          </w:tcPr>
          <w:p w14:paraId="143EF32F">
            <w:pPr>
              <w:pStyle w:val="2"/>
              <w:ind w:firstLine="0" w:firstLineChars="0"/>
              <w:rPr>
                <w:rFonts w:hint="eastAsia" w:cs="宋体"/>
                <w:color w:val="auto"/>
                <w:szCs w:val="21"/>
                <w:highlight w:val="none"/>
                <w:lang w:val="en-US" w:eastAsia="zh-CN"/>
              </w:rPr>
            </w:pPr>
            <w:r>
              <w:rPr>
                <w:rFonts w:hint="eastAsia" w:cs="宋体"/>
                <w:color w:val="auto"/>
                <w:szCs w:val="21"/>
                <w:highlight w:val="none"/>
                <w:lang w:val="en-US" w:eastAsia="zh-CN"/>
              </w:rPr>
              <w:t>管理体系</w:t>
            </w:r>
          </w:p>
          <w:p w14:paraId="016057A7">
            <w:pPr>
              <w:pStyle w:val="2"/>
              <w:ind w:firstLine="210" w:firstLineChars="100"/>
              <w:rPr>
                <w:rFonts w:hint="default"/>
                <w:color w:val="auto"/>
                <w:highlight w:val="none"/>
                <w:lang w:val="en-US" w:eastAsia="zh-CN"/>
              </w:rPr>
            </w:pPr>
            <w:r>
              <w:rPr>
                <w:rFonts w:hint="eastAsia" w:cs="宋体"/>
                <w:color w:val="auto"/>
                <w:szCs w:val="21"/>
                <w:highlight w:val="none"/>
                <w:lang w:val="en-US" w:eastAsia="zh-CN"/>
              </w:rPr>
              <w:t>3分</w:t>
            </w:r>
          </w:p>
        </w:tc>
        <w:tc>
          <w:tcPr>
            <w:tcW w:w="8553" w:type="dxa"/>
            <w:gridSpan w:val="2"/>
            <w:vAlign w:val="center"/>
          </w:tcPr>
          <w:p w14:paraId="718CF7A6">
            <w:pPr>
              <w:keepNext w:val="0"/>
              <w:keepLines w:val="0"/>
              <w:pageBreakBefore w:val="0"/>
              <w:kinsoku/>
              <w:overflowPunct/>
              <w:topLinePunct w:val="0"/>
              <w:bidi w:val="0"/>
              <w:adjustRightInd w:val="0"/>
              <w:snapToGrid/>
              <w:spacing w:line="400" w:lineRule="exact"/>
              <w:ind w:firstLine="420" w:firstLineChars="200"/>
              <w:textAlignment w:val="baseline"/>
              <w:rPr>
                <w:rFonts w:hint="eastAsia" w:ascii="宋体" w:hAnsi="宋体" w:eastAsia="宋体" w:cs="宋体"/>
                <w:color w:val="auto"/>
                <w:kern w:val="0"/>
                <w:highlight w:val="none"/>
              </w:rPr>
            </w:pPr>
            <w:r>
              <w:rPr>
                <w:rFonts w:hint="eastAsia" w:ascii="宋体" w:hAnsi="宋体" w:eastAsia="宋体" w:cs="宋体"/>
                <w:color w:val="auto"/>
                <w:kern w:val="0"/>
                <w:highlight w:val="none"/>
              </w:rPr>
              <w:t>供应商具备质量管理体系认证证书（有效期内）、环境管理体系认证证书（有效期内）、</w:t>
            </w:r>
            <w:r>
              <w:rPr>
                <w:rFonts w:hint="eastAsia" w:ascii="宋体" w:hAnsi="宋体" w:eastAsia="宋体" w:cs="宋体"/>
                <w:color w:val="auto"/>
                <w:kern w:val="0"/>
                <w:szCs w:val="21"/>
                <w:highlight w:val="none"/>
              </w:rPr>
              <w:t>职业健康安全管理体系认证证书（有效期内）</w:t>
            </w:r>
            <w:r>
              <w:rPr>
                <w:rFonts w:hint="eastAsia" w:ascii="宋体" w:hAnsi="宋体" w:eastAsia="宋体" w:cs="宋体"/>
                <w:color w:val="auto"/>
                <w:kern w:val="0"/>
                <w:highlight w:val="none"/>
              </w:rPr>
              <w:t>，有一个得</w:t>
            </w:r>
            <w:r>
              <w:rPr>
                <w:rFonts w:hint="eastAsia" w:ascii="宋体" w:hAnsi="宋体" w:eastAsia="宋体" w:cs="宋体"/>
                <w:color w:val="auto"/>
                <w:kern w:val="0"/>
                <w:highlight w:val="none"/>
                <w:lang w:val="en-US" w:eastAsia="zh-CN"/>
              </w:rPr>
              <w:t>1</w:t>
            </w:r>
            <w:r>
              <w:rPr>
                <w:rFonts w:hint="eastAsia" w:ascii="宋体" w:hAnsi="宋体" w:eastAsia="宋体" w:cs="宋体"/>
                <w:color w:val="auto"/>
                <w:kern w:val="0"/>
                <w:highlight w:val="none"/>
              </w:rPr>
              <w:t>分，最多得</w:t>
            </w:r>
            <w:r>
              <w:rPr>
                <w:rFonts w:hint="eastAsia" w:ascii="宋体" w:hAnsi="宋体" w:eastAsia="宋体" w:cs="宋体"/>
                <w:color w:val="auto"/>
                <w:kern w:val="0"/>
                <w:highlight w:val="none"/>
                <w:lang w:val="en-US" w:eastAsia="zh-CN"/>
              </w:rPr>
              <w:t>3</w:t>
            </w:r>
            <w:r>
              <w:rPr>
                <w:rFonts w:hint="eastAsia" w:ascii="宋体" w:hAnsi="宋体" w:eastAsia="宋体" w:cs="宋体"/>
                <w:color w:val="auto"/>
                <w:kern w:val="0"/>
                <w:highlight w:val="none"/>
              </w:rPr>
              <w:t>分。</w:t>
            </w:r>
          </w:p>
          <w:p w14:paraId="3AA192A6">
            <w:pPr>
              <w:keepNext w:val="0"/>
              <w:keepLines w:val="0"/>
              <w:pageBreakBefore w:val="0"/>
              <w:kinsoku/>
              <w:overflowPunct/>
              <w:topLinePunct w:val="0"/>
              <w:bidi w:val="0"/>
              <w:adjustRightInd w:val="0"/>
              <w:snapToGrid/>
              <w:spacing w:line="400" w:lineRule="exact"/>
              <w:ind w:firstLine="420" w:firstLineChars="200"/>
              <w:textAlignment w:val="baseline"/>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Cs w:val="21"/>
                <w:highlight w:val="none"/>
                <w:lang w:val="en-US" w:eastAsia="zh-CN"/>
              </w:rPr>
              <w:t>注：</w:t>
            </w:r>
            <w:r>
              <w:rPr>
                <w:rFonts w:hint="eastAsia" w:ascii="宋体" w:hAnsi="宋体" w:eastAsia="宋体" w:cs="宋体"/>
                <w:b w:val="0"/>
                <w:bCs w:val="0"/>
                <w:color w:val="auto"/>
                <w:szCs w:val="21"/>
                <w:highlight w:val="none"/>
              </w:rPr>
              <w:t>提供相应证书复印件</w:t>
            </w:r>
            <w:r>
              <w:rPr>
                <w:rFonts w:hint="eastAsia" w:ascii="宋体" w:hAnsi="宋体" w:eastAsia="宋体" w:cs="宋体"/>
                <w:b w:val="0"/>
                <w:color w:val="auto"/>
                <w:szCs w:val="21"/>
                <w:highlight w:val="none"/>
              </w:rPr>
              <w:t>并加盖供应商</w:t>
            </w:r>
            <w:r>
              <w:rPr>
                <w:rFonts w:hint="eastAsia" w:ascii="宋体" w:hAnsi="宋体" w:eastAsia="宋体" w:cs="宋体"/>
                <w:b w:val="0"/>
                <w:color w:val="auto"/>
                <w:szCs w:val="21"/>
                <w:highlight w:val="none"/>
                <w:lang w:eastAsia="zh-CN"/>
              </w:rPr>
              <w:t>。</w:t>
            </w:r>
          </w:p>
        </w:tc>
      </w:tr>
    </w:tbl>
    <w:p w14:paraId="7FEBC0B1">
      <w:pPr>
        <w:pStyle w:val="2"/>
        <w:spacing w:line="40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r>
        <w:rPr>
          <w:rFonts w:hint="eastAsia" w:ascii="宋体" w:hAnsi="宋体" w:eastAsia="宋体" w:cs="宋体"/>
          <w:b/>
          <w:bCs/>
          <w:color w:val="auto"/>
          <w:szCs w:val="21"/>
          <w:highlight w:val="none"/>
        </w:rPr>
        <w:t>：</w:t>
      </w:r>
      <w:r>
        <w:rPr>
          <w:rFonts w:hint="eastAsia" w:cs="宋体"/>
          <w:b/>
          <w:bCs/>
          <w:strike w:val="0"/>
          <w:color w:val="auto"/>
          <w:szCs w:val="21"/>
          <w:highlight w:val="none"/>
          <w:lang w:eastAsia="zh-CN"/>
        </w:rPr>
        <w:t>1</w:t>
      </w:r>
      <w:r>
        <w:rPr>
          <w:rFonts w:hint="eastAsia" w:ascii="宋体" w:hAnsi="宋体" w:eastAsia="宋体" w:cs="宋体"/>
          <w:color w:val="auto"/>
          <w:szCs w:val="21"/>
          <w:highlight w:val="none"/>
        </w:rPr>
        <w:t>、提供的材料中涉及评标的相关数据不一致的，以数额较小的为准。上述工程不是</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承接的工程，不予计分。</w:t>
      </w:r>
    </w:p>
    <w:p w14:paraId="0EB7D28D">
      <w:pPr>
        <w:pStyle w:val="2"/>
        <w:spacing w:line="400" w:lineRule="exact"/>
        <w:ind w:firstLine="630" w:firstLineChars="300"/>
        <w:rPr>
          <w:rFonts w:hint="eastAsia" w:ascii="宋体" w:hAnsi="宋体" w:eastAsia="宋体" w:cs="宋体"/>
          <w:color w:val="auto"/>
          <w:szCs w:val="21"/>
          <w:highlight w:val="none"/>
        </w:rPr>
      </w:pPr>
      <w:r>
        <w:rPr>
          <w:rFonts w:hint="eastAsia" w:cs="宋体"/>
          <w:color w:val="auto"/>
          <w:szCs w:val="21"/>
          <w:highlight w:val="none"/>
          <w:lang w:val="en-US" w:eastAsia="zh-CN"/>
        </w:rPr>
        <w:t>2</w:t>
      </w:r>
      <w:r>
        <w:rPr>
          <w:rFonts w:hint="eastAsia" w:ascii="宋体" w:hAnsi="宋体" w:eastAsia="宋体" w:cs="宋体"/>
          <w:color w:val="auto"/>
          <w:szCs w:val="21"/>
          <w:highlight w:val="none"/>
        </w:rPr>
        <w:t>、响应文件的正本和副本中均需提供相关原件的复印件加盖</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公章。</w:t>
      </w:r>
    </w:p>
    <w:p w14:paraId="7751688B">
      <w:pPr>
        <w:pStyle w:val="2"/>
        <w:spacing w:line="400" w:lineRule="exact"/>
        <w:ind w:firstLine="630" w:firstLineChars="300"/>
        <w:rPr>
          <w:rFonts w:hint="default" w:ascii="宋体" w:hAnsi="宋体" w:eastAsia="宋体" w:cs="宋体"/>
          <w:color w:val="auto"/>
          <w:szCs w:val="21"/>
          <w:highlight w:val="none"/>
          <w:lang w:val="en-US" w:eastAsia="zh-CN"/>
        </w:rPr>
      </w:pPr>
      <w:r>
        <w:rPr>
          <w:rFonts w:hint="eastAsia" w:cs="宋体"/>
          <w:color w:val="auto"/>
          <w:szCs w:val="21"/>
          <w:highlight w:val="none"/>
          <w:lang w:val="en-US" w:eastAsia="zh-CN"/>
        </w:rPr>
        <w:t>3</w:t>
      </w:r>
      <w:r>
        <w:rPr>
          <w:rFonts w:hint="eastAsia" w:ascii="宋体" w:hAnsi="宋体" w:eastAsia="宋体" w:cs="宋体"/>
          <w:color w:val="auto"/>
          <w:szCs w:val="21"/>
          <w:highlight w:val="none"/>
        </w:rPr>
        <w:t>、</w:t>
      </w:r>
      <w:r>
        <w:rPr>
          <w:rFonts w:hint="eastAsia" w:cs="宋体"/>
          <w:color w:val="auto"/>
          <w:szCs w:val="21"/>
          <w:highlight w:val="none"/>
          <w:lang w:val="en-US" w:eastAsia="zh-CN"/>
        </w:rPr>
        <w:t>监理方案总篇幅不超过150页，每超过1页的，扣0.1分，最多扣5分。</w:t>
      </w:r>
    </w:p>
    <w:p w14:paraId="587FEB9E">
      <w:pPr>
        <w:pStyle w:val="2"/>
        <w:spacing w:line="400" w:lineRule="exact"/>
        <w:ind w:firstLine="630" w:firstLineChars="300"/>
        <w:rPr>
          <w:rFonts w:hint="eastAsia" w:ascii="宋体" w:hAnsi="宋体" w:eastAsia="宋体" w:cs="宋体"/>
          <w:color w:val="auto"/>
          <w:szCs w:val="21"/>
          <w:highlight w:val="none"/>
          <w:lang w:val="en-US" w:eastAsia="zh-CN"/>
        </w:rPr>
      </w:pPr>
      <w:r>
        <w:rPr>
          <w:rFonts w:hint="eastAsia" w:cs="宋体"/>
          <w:color w:val="auto"/>
          <w:szCs w:val="21"/>
          <w:highlight w:val="none"/>
          <w:lang w:val="en-US" w:eastAsia="zh-CN"/>
        </w:rPr>
        <w:t>4、</w:t>
      </w:r>
      <w:r>
        <w:rPr>
          <w:rFonts w:hint="eastAsia" w:ascii="宋体" w:hAnsi="宋体" w:eastAsia="宋体" w:cs="宋体"/>
          <w:color w:val="auto"/>
          <w:szCs w:val="21"/>
          <w:highlight w:val="none"/>
        </w:rPr>
        <w:t>若发现有提供虚假的证明材料，视为无效投标，并追究相关责任。</w:t>
      </w:r>
    </w:p>
    <w:p w14:paraId="6C4FB8DF">
      <w:pPr>
        <w:pStyle w:val="4"/>
        <w:rPr>
          <w:rFonts w:hint="eastAsia" w:ascii="宋体" w:hAnsi="宋体" w:eastAsia="宋体" w:cs="宋体"/>
          <w:color w:val="auto"/>
          <w:szCs w:val="21"/>
          <w:highlight w:val="none"/>
        </w:rPr>
      </w:pPr>
    </w:p>
    <w:p w14:paraId="5BA84AB3">
      <w:pPr>
        <w:pStyle w:val="5"/>
        <w:rPr>
          <w:rFonts w:hint="eastAsia" w:ascii="宋体" w:hAnsi="宋体" w:eastAsia="宋体" w:cs="宋体"/>
          <w:color w:val="auto"/>
          <w:szCs w:val="21"/>
          <w:highlight w:val="none"/>
        </w:rPr>
      </w:pPr>
    </w:p>
    <w:p w14:paraId="1E4FC852">
      <w:pPr>
        <w:widowControl/>
        <w:jc w:val="center"/>
        <w:rPr>
          <w:rFonts w:hint="eastAsia" w:ascii="宋体" w:hAnsi="宋体" w:eastAsia="宋体" w:cs="宋体"/>
          <w:b/>
          <w:color w:val="auto"/>
          <w:sz w:val="36"/>
          <w:highlight w:val="none"/>
        </w:rPr>
      </w:pPr>
    </w:p>
    <w:p w14:paraId="07DC2561">
      <w:pPr>
        <w:pStyle w:val="2"/>
        <w:ind w:firstLine="723"/>
        <w:rPr>
          <w:rFonts w:hint="eastAsia" w:ascii="宋体" w:hAnsi="宋体" w:eastAsia="宋体" w:cs="宋体"/>
          <w:b/>
          <w:color w:val="auto"/>
          <w:sz w:val="36"/>
          <w:highlight w:val="none"/>
        </w:rPr>
      </w:pPr>
    </w:p>
    <w:p w14:paraId="42ABEC3F">
      <w:pPr>
        <w:pStyle w:val="4"/>
        <w:ind w:left="723" w:hanging="723"/>
        <w:rPr>
          <w:rFonts w:hint="eastAsia" w:ascii="宋体" w:hAnsi="宋体" w:eastAsia="宋体" w:cs="宋体"/>
          <w:b/>
          <w:color w:val="auto"/>
          <w:sz w:val="36"/>
          <w:highlight w:val="none"/>
        </w:rPr>
      </w:pPr>
    </w:p>
    <w:p w14:paraId="5EAD768E">
      <w:pPr>
        <w:pStyle w:val="5"/>
        <w:rPr>
          <w:rFonts w:hint="eastAsia" w:ascii="宋体" w:hAnsi="宋体" w:eastAsia="宋体" w:cs="宋体"/>
          <w:b/>
          <w:color w:val="auto"/>
          <w:sz w:val="36"/>
          <w:highlight w:val="none"/>
        </w:rPr>
      </w:pPr>
    </w:p>
    <w:p w14:paraId="142FBC54">
      <w:pPr>
        <w:pStyle w:val="6"/>
        <w:rPr>
          <w:rFonts w:hint="eastAsia" w:ascii="宋体" w:hAnsi="宋体" w:eastAsia="宋体" w:cs="宋体"/>
          <w:b/>
          <w:color w:val="auto"/>
          <w:sz w:val="36"/>
          <w:highlight w:val="none"/>
        </w:rPr>
      </w:pPr>
    </w:p>
    <w:p w14:paraId="4352DC97">
      <w:pPr>
        <w:pStyle w:val="7"/>
        <w:rPr>
          <w:rFonts w:hint="eastAsia" w:ascii="宋体" w:hAnsi="宋体" w:eastAsia="宋体" w:cs="宋体"/>
          <w:b/>
          <w:color w:val="auto"/>
          <w:sz w:val="36"/>
          <w:highlight w:val="none"/>
        </w:rPr>
      </w:pPr>
    </w:p>
    <w:p w14:paraId="1F5EC5BB">
      <w:pPr>
        <w:pStyle w:val="8"/>
        <w:rPr>
          <w:rFonts w:hint="eastAsia" w:ascii="宋体" w:hAnsi="宋体" w:eastAsia="宋体" w:cs="宋体"/>
          <w:b/>
          <w:color w:val="auto"/>
          <w:sz w:val="36"/>
          <w:highlight w:val="none"/>
        </w:rPr>
      </w:pPr>
    </w:p>
    <w:p w14:paraId="7BBBA486">
      <w:pPr>
        <w:pStyle w:val="9"/>
        <w:rPr>
          <w:rFonts w:hint="eastAsia" w:ascii="宋体" w:hAnsi="宋体" w:eastAsia="宋体" w:cs="宋体"/>
          <w:b/>
          <w:color w:val="auto"/>
          <w:sz w:val="36"/>
          <w:highlight w:val="none"/>
        </w:rPr>
      </w:pPr>
    </w:p>
    <w:p w14:paraId="3383C2AB">
      <w:pPr>
        <w:pStyle w:val="10"/>
        <w:rPr>
          <w:rFonts w:hint="eastAsia" w:ascii="宋体" w:hAnsi="宋体" w:eastAsia="宋体" w:cs="宋体"/>
          <w:b/>
          <w:color w:val="auto"/>
          <w:sz w:val="36"/>
          <w:highlight w:val="none"/>
        </w:rPr>
      </w:pPr>
    </w:p>
    <w:p w14:paraId="413C839D">
      <w:pPr>
        <w:rPr>
          <w:rFonts w:hint="eastAsia" w:ascii="宋体" w:hAnsi="宋体" w:eastAsia="宋体" w:cs="宋体"/>
          <w:b/>
          <w:color w:val="auto"/>
          <w:sz w:val="36"/>
          <w:highlight w:val="none"/>
        </w:rPr>
      </w:pPr>
    </w:p>
    <w:p w14:paraId="6CCAD44D">
      <w:pPr>
        <w:pStyle w:val="2"/>
        <w:rPr>
          <w:rFonts w:hint="eastAsia" w:ascii="宋体" w:hAnsi="宋体" w:eastAsia="宋体" w:cs="宋体"/>
          <w:b/>
          <w:color w:val="auto"/>
          <w:sz w:val="36"/>
          <w:highlight w:val="none"/>
        </w:rPr>
      </w:pPr>
    </w:p>
    <w:p w14:paraId="3BD8D67D">
      <w:pPr>
        <w:pStyle w:val="4"/>
        <w:rPr>
          <w:rFonts w:hint="eastAsia"/>
          <w:color w:val="auto"/>
          <w:highlight w:val="none"/>
        </w:rPr>
      </w:pPr>
    </w:p>
    <w:p w14:paraId="7812577B">
      <w:pPr>
        <w:widowControl/>
        <w:jc w:val="both"/>
        <w:rPr>
          <w:rFonts w:hint="eastAsia" w:ascii="宋体" w:hAnsi="宋体" w:eastAsia="宋体" w:cs="宋体"/>
          <w:b/>
          <w:color w:val="auto"/>
          <w:sz w:val="36"/>
          <w:highlight w:val="none"/>
        </w:rPr>
      </w:pPr>
    </w:p>
    <w:p w14:paraId="3BEDCEDD">
      <w:pPr>
        <w:widowControl/>
        <w:jc w:val="center"/>
        <w:rPr>
          <w:rFonts w:hint="eastAsia" w:ascii="宋体" w:hAnsi="宋体" w:eastAsia="宋体" w:cs="宋体"/>
          <w:b/>
          <w:color w:val="auto"/>
          <w:highlight w:val="none"/>
        </w:rPr>
      </w:pPr>
      <w:r>
        <w:rPr>
          <w:rFonts w:hint="eastAsia" w:ascii="宋体" w:hAnsi="宋体" w:eastAsia="宋体" w:cs="宋体"/>
          <w:b/>
          <w:color w:val="auto"/>
          <w:sz w:val="36"/>
          <w:highlight w:val="none"/>
        </w:rPr>
        <w:t>第六章 竞争性磋商响应文件格式</w:t>
      </w:r>
      <w:bookmarkEnd w:id="146"/>
    </w:p>
    <w:p w14:paraId="14915592">
      <w:pPr>
        <w:jc w:val="center"/>
        <w:rPr>
          <w:rFonts w:hint="eastAsia" w:ascii="宋体" w:hAnsi="宋体" w:eastAsia="宋体" w:cs="宋体"/>
          <w:b/>
          <w:color w:val="auto"/>
          <w:sz w:val="36"/>
          <w:highlight w:val="none"/>
        </w:rPr>
      </w:pPr>
    </w:p>
    <w:p w14:paraId="6C48F1F6">
      <w:pPr>
        <w:jc w:val="center"/>
        <w:rPr>
          <w:rFonts w:hint="eastAsia" w:ascii="宋体" w:hAnsi="宋体" w:eastAsia="宋体" w:cs="宋体"/>
          <w:b/>
          <w:color w:val="auto"/>
          <w:szCs w:val="21"/>
          <w:highlight w:val="none"/>
        </w:rPr>
      </w:pPr>
    </w:p>
    <w:p w14:paraId="2D17C8C8">
      <w:pPr>
        <w:jc w:val="center"/>
        <w:rPr>
          <w:rFonts w:hint="eastAsia" w:ascii="宋体" w:hAnsi="宋体" w:eastAsia="宋体" w:cs="宋体"/>
          <w:b/>
          <w:color w:val="auto"/>
          <w:sz w:val="22"/>
          <w:szCs w:val="21"/>
          <w:highlight w:val="none"/>
        </w:rPr>
      </w:pPr>
    </w:p>
    <w:p w14:paraId="46383FE6">
      <w:pP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竞争性磋商响应文件</w:t>
      </w:r>
    </w:p>
    <w:p w14:paraId="27A94C1C">
      <w:pPr>
        <w:jc w:val="center"/>
        <w:rPr>
          <w:rFonts w:hint="eastAsia" w:ascii="宋体" w:hAnsi="宋体" w:eastAsia="宋体" w:cs="宋体"/>
          <w:b/>
          <w:color w:val="auto"/>
          <w:sz w:val="72"/>
          <w:highlight w:val="none"/>
        </w:rPr>
      </w:pPr>
    </w:p>
    <w:p w14:paraId="4DF7666B">
      <w:pPr>
        <w:jc w:val="center"/>
        <w:rPr>
          <w:rFonts w:hint="eastAsia" w:ascii="宋体" w:hAnsi="宋体" w:eastAsia="宋体" w:cs="宋体"/>
          <w:b/>
          <w:color w:val="auto"/>
          <w:sz w:val="44"/>
          <w:szCs w:val="44"/>
          <w:highlight w:val="none"/>
        </w:rPr>
      </w:pPr>
      <w:r>
        <w:rPr>
          <w:rFonts w:hint="eastAsia" w:ascii="宋体" w:hAnsi="宋体" w:eastAsia="宋体" w:cs="宋体"/>
          <w:b/>
          <w:bCs/>
          <w:color w:val="auto"/>
          <w:sz w:val="44"/>
          <w:szCs w:val="44"/>
          <w:highlight w:val="none"/>
        </w:rPr>
        <w:t>（正或副本）</w:t>
      </w:r>
    </w:p>
    <w:p w14:paraId="6150F53E">
      <w:pPr>
        <w:jc w:val="center"/>
        <w:rPr>
          <w:rFonts w:hint="eastAsia" w:ascii="宋体" w:hAnsi="宋体" w:eastAsia="宋体" w:cs="宋体"/>
          <w:b/>
          <w:color w:val="auto"/>
          <w:sz w:val="36"/>
          <w:highlight w:val="none"/>
        </w:rPr>
      </w:pPr>
    </w:p>
    <w:p w14:paraId="54B61F56">
      <w:pPr>
        <w:jc w:val="center"/>
        <w:rPr>
          <w:rFonts w:hint="eastAsia" w:ascii="宋体" w:hAnsi="宋体" w:eastAsia="宋体" w:cs="宋体"/>
          <w:b/>
          <w:color w:val="auto"/>
          <w:sz w:val="36"/>
          <w:highlight w:val="none"/>
        </w:rPr>
      </w:pPr>
    </w:p>
    <w:p w14:paraId="11F3DE95">
      <w:pPr>
        <w:jc w:val="center"/>
        <w:rPr>
          <w:rFonts w:hint="eastAsia" w:ascii="宋体" w:hAnsi="宋体" w:eastAsia="宋体" w:cs="宋体"/>
          <w:b/>
          <w:color w:val="auto"/>
          <w:sz w:val="36"/>
          <w:highlight w:val="none"/>
        </w:rPr>
      </w:pPr>
    </w:p>
    <w:p w14:paraId="6A228E64">
      <w:pPr>
        <w:jc w:val="center"/>
        <w:rPr>
          <w:rFonts w:hint="eastAsia" w:ascii="宋体" w:hAnsi="宋体" w:eastAsia="宋体" w:cs="宋体"/>
          <w:b/>
          <w:color w:val="auto"/>
          <w:sz w:val="36"/>
          <w:highlight w:val="none"/>
        </w:rPr>
      </w:pPr>
    </w:p>
    <w:p w14:paraId="7CCFDBCB">
      <w:pPr>
        <w:jc w:val="center"/>
        <w:rPr>
          <w:rFonts w:hint="eastAsia" w:ascii="宋体" w:hAnsi="宋体" w:eastAsia="宋体" w:cs="宋体"/>
          <w:b/>
          <w:color w:val="auto"/>
          <w:sz w:val="36"/>
          <w:highlight w:val="none"/>
        </w:rPr>
      </w:pPr>
    </w:p>
    <w:p w14:paraId="2AA0DCFA">
      <w:pPr>
        <w:jc w:val="center"/>
        <w:rPr>
          <w:rFonts w:hint="eastAsia" w:ascii="宋体" w:hAnsi="宋体" w:eastAsia="宋体" w:cs="宋体"/>
          <w:b/>
          <w:color w:val="auto"/>
          <w:sz w:val="36"/>
          <w:highlight w:val="none"/>
        </w:rPr>
      </w:pPr>
    </w:p>
    <w:p w14:paraId="6C62E1DE">
      <w:pPr>
        <w:ind w:firstLine="1084" w:firstLineChars="300"/>
        <w:rPr>
          <w:rFonts w:hint="eastAsia" w:ascii="宋体" w:hAnsi="宋体" w:eastAsia="宋体" w:cs="宋体"/>
          <w:color w:val="auto"/>
          <w:sz w:val="36"/>
          <w:szCs w:val="36"/>
          <w:highlight w:val="none"/>
        </w:rPr>
      </w:pPr>
      <w:r>
        <w:rPr>
          <w:rFonts w:hint="eastAsia" w:ascii="宋体" w:hAnsi="宋体" w:eastAsia="宋体" w:cs="宋体"/>
          <w:b/>
          <w:color w:val="auto"/>
          <w:sz w:val="36"/>
          <w:highlight w:val="none"/>
        </w:rPr>
        <w:t>项 目 名 称：</w:t>
      </w:r>
    </w:p>
    <w:p w14:paraId="4BA29B49">
      <w:pPr>
        <w:ind w:firstLine="1084" w:firstLineChars="300"/>
        <w:rPr>
          <w:rFonts w:hint="eastAsia" w:ascii="宋体" w:hAnsi="宋体" w:eastAsia="宋体" w:cs="宋体"/>
          <w:b/>
          <w:color w:val="auto"/>
          <w:sz w:val="36"/>
          <w:highlight w:val="none"/>
          <w:u w:val="single"/>
        </w:rPr>
      </w:pPr>
      <w:r>
        <w:rPr>
          <w:rFonts w:hint="eastAsia" w:ascii="宋体" w:hAnsi="宋体" w:eastAsia="宋体" w:cs="宋体"/>
          <w:b/>
          <w:color w:val="auto"/>
          <w:sz w:val="36"/>
          <w:highlight w:val="none"/>
        </w:rPr>
        <w:t>项 目 编 号：</w:t>
      </w:r>
    </w:p>
    <w:p w14:paraId="59C146DA">
      <w:pPr>
        <w:rPr>
          <w:rFonts w:hint="eastAsia" w:ascii="宋体" w:hAnsi="宋体" w:eastAsia="宋体" w:cs="宋体"/>
          <w:b/>
          <w:color w:val="auto"/>
          <w:sz w:val="36"/>
          <w:highlight w:val="none"/>
          <w:u w:val="single"/>
        </w:rPr>
      </w:pPr>
      <w:r>
        <w:rPr>
          <w:rFonts w:hint="eastAsia" w:ascii="宋体" w:hAnsi="宋体" w:eastAsia="宋体" w:cs="宋体"/>
          <w:b/>
          <w:color w:val="auto"/>
          <w:sz w:val="36"/>
          <w:highlight w:val="none"/>
        </w:rPr>
        <w:t xml:space="preserve">      磋商供应商名称 ：</w:t>
      </w:r>
    </w:p>
    <w:p w14:paraId="65105E75">
      <w:pP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 xml:space="preserve">      日      期 ：</w:t>
      </w:r>
    </w:p>
    <w:p w14:paraId="1D8D9D57">
      <w:p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说明：</w:t>
      </w:r>
    </w:p>
    <w:p w14:paraId="39D1CA9A">
      <w:pPr>
        <w:spacing w:line="360" w:lineRule="auto"/>
        <w:ind w:firstLine="482" w:firstLineChars="200"/>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对本章所有的响应文件格式，供应商可根据自身情况进行补充和修改，但补充和修改不得造成与本格式内容有实质性的违背。</w:t>
      </w:r>
      <w:r>
        <w:rPr>
          <w:rFonts w:hint="eastAsia" w:ascii="宋体" w:hAnsi="宋体" w:eastAsia="宋体" w:cs="宋体"/>
          <w:color w:val="auto"/>
          <w:sz w:val="24"/>
          <w:highlight w:val="none"/>
        </w:rPr>
        <w:br w:type="page"/>
      </w:r>
    </w:p>
    <w:p w14:paraId="46A72CDB">
      <w:pPr>
        <w:spacing w:line="360" w:lineRule="auto"/>
        <w:ind w:firstLine="422" w:firstLineChars="200"/>
        <w:jc w:val="center"/>
        <w:rPr>
          <w:rFonts w:hint="eastAsia" w:ascii="宋体" w:hAnsi="宋体" w:eastAsia="宋体" w:cs="宋体"/>
          <w:b/>
          <w:color w:val="auto"/>
          <w:szCs w:val="21"/>
          <w:highlight w:val="none"/>
        </w:rPr>
      </w:pPr>
    </w:p>
    <w:p w14:paraId="057CED0A">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评分索引表</w:t>
      </w:r>
    </w:p>
    <w:tbl>
      <w:tblPr>
        <w:tblStyle w:val="3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14:paraId="47067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trPr>
        <w:tc>
          <w:tcPr>
            <w:tcW w:w="5670" w:type="dxa"/>
          </w:tcPr>
          <w:p w14:paraId="409FDE2D">
            <w:pPr>
              <w:pStyle w:val="62"/>
              <w:shd w:val="clear" w:color="auto" w:fill="FFFFFF"/>
              <w:spacing w:line="265" w:lineRule="atLeast"/>
              <w:ind w:left="420"/>
              <w:jc w:val="center"/>
              <w:rPr>
                <w:rFonts w:hint="eastAsia" w:ascii="宋体" w:hAnsi="宋体" w:eastAsia="宋体" w:cs="宋体"/>
                <w:b/>
                <w:bCs/>
                <w:color w:val="auto"/>
                <w:kern w:val="2"/>
                <w:sz w:val="21"/>
                <w:szCs w:val="21"/>
                <w:highlight w:val="none"/>
                <w:lang w:eastAsia="zh-CN"/>
              </w:rPr>
            </w:pPr>
            <w:r>
              <w:rPr>
                <w:rFonts w:hint="eastAsia" w:ascii="宋体" w:hAnsi="宋体" w:eastAsia="宋体" w:cs="宋体"/>
                <w:b/>
                <w:color w:val="auto"/>
                <w:kern w:val="2"/>
                <w:sz w:val="21"/>
                <w:szCs w:val="21"/>
                <w:highlight w:val="none"/>
              </w:rPr>
              <w:t>评分项目</w:t>
            </w:r>
          </w:p>
        </w:tc>
        <w:tc>
          <w:tcPr>
            <w:tcW w:w="3570" w:type="dxa"/>
          </w:tcPr>
          <w:p w14:paraId="17D02342">
            <w:pPr>
              <w:adjustRightInd w:val="0"/>
              <w:snapToGrid w:val="0"/>
              <w:spacing w:after="200" w:line="220" w:lineRule="atLeast"/>
              <w:jc w:val="center"/>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rPr>
              <w:t>在响应文件中的页码位置</w:t>
            </w:r>
          </w:p>
        </w:tc>
      </w:tr>
      <w:tr w14:paraId="22FB4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Pr>
          <w:p w14:paraId="133B0A14">
            <w:pPr>
              <w:pStyle w:val="62"/>
              <w:shd w:val="clear" w:color="auto" w:fill="FFFFFF"/>
              <w:spacing w:line="265" w:lineRule="atLeast"/>
              <w:ind w:left="420"/>
              <w:jc w:val="both"/>
              <w:rPr>
                <w:rFonts w:hint="eastAsia" w:ascii="宋体" w:hAnsi="宋体" w:eastAsia="宋体" w:cs="宋体"/>
                <w:b/>
                <w:color w:val="auto"/>
                <w:kern w:val="2"/>
                <w:szCs w:val="24"/>
                <w:highlight w:val="none"/>
                <w:lang w:eastAsia="zh-CN"/>
              </w:rPr>
            </w:pPr>
          </w:p>
        </w:tc>
        <w:tc>
          <w:tcPr>
            <w:tcW w:w="3570" w:type="dxa"/>
          </w:tcPr>
          <w:p w14:paraId="7A958D41">
            <w:pPr>
              <w:adjustRightInd w:val="0"/>
              <w:snapToGrid w:val="0"/>
              <w:spacing w:after="200" w:line="220" w:lineRule="atLeast"/>
              <w:rPr>
                <w:rFonts w:hint="eastAsia" w:ascii="宋体" w:hAnsi="宋体" w:eastAsia="宋体" w:cs="宋体"/>
                <w:b/>
                <w:color w:val="auto"/>
                <w:sz w:val="24"/>
                <w:highlight w:val="none"/>
              </w:rPr>
            </w:pPr>
          </w:p>
        </w:tc>
      </w:tr>
      <w:tr w14:paraId="3A047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Pr>
          <w:p w14:paraId="094D1467">
            <w:pPr>
              <w:pStyle w:val="62"/>
              <w:shd w:val="clear" w:color="auto" w:fill="FFFFFF"/>
              <w:spacing w:line="265" w:lineRule="atLeast"/>
              <w:ind w:left="420"/>
              <w:jc w:val="both"/>
              <w:rPr>
                <w:rFonts w:hint="eastAsia" w:ascii="宋体" w:hAnsi="宋体" w:eastAsia="宋体" w:cs="宋体"/>
                <w:color w:val="auto"/>
                <w:kern w:val="2"/>
                <w:szCs w:val="24"/>
                <w:highlight w:val="none"/>
                <w:lang w:eastAsia="zh-CN"/>
              </w:rPr>
            </w:pPr>
          </w:p>
        </w:tc>
      </w:tr>
      <w:tr w14:paraId="2D851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14:paraId="4B7AA06F">
            <w:pPr>
              <w:pStyle w:val="62"/>
              <w:shd w:val="clear" w:color="auto" w:fill="FFFFFF"/>
              <w:spacing w:line="265" w:lineRule="atLeast"/>
              <w:ind w:left="420"/>
              <w:rPr>
                <w:rFonts w:hint="eastAsia" w:ascii="宋体" w:hAnsi="宋体" w:eastAsia="宋体" w:cs="宋体"/>
                <w:color w:val="auto"/>
                <w:kern w:val="2"/>
                <w:szCs w:val="24"/>
                <w:highlight w:val="none"/>
                <w:lang w:eastAsia="zh-CN"/>
              </w:rPr>
            </w:pPr>
          </w:p>
        </w:tc>
        <w:tc>
          <w:tcPr>
            <w:tcW w:w="3570" w:type="dxa"/>
          </w:tcPr>
          <w:p w14:paraId="5824790E">
            <w:pPr>
              <w:adjustRightInd w:val="0"/>
              <w:snapToGrid w:val="0"/>
              <w:spacing w:after="200" w:line="220" w:lineRule="atLeast"/>
              <w:rPr>
                <w:rFonts w:hint="eastAsia" w:ascii="宋体" w:hAnsi="宋体" w:eastAsia="宋体" w:cs="宋体"/>
                <w:color w:val="auto"/>
                <w:highlight w:val="none"/>
              </w:rPr>
            </w:pPr>
          </w:p>
        </w:tc>
      </w:tr>
      <w:tr w14:paraId="2F661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14:paraId="4131334F">
            <w:pPr>
              <w:pStyle w:val="62"/>
              <w:shd w:val="clear" w:color="auto" w:fill="FFFFFF"/>
              <w:spacing w:line="265" w:lineRule="atLeast"/>
              <w:ind w:left="420"/>
              <w:rPr>
                <w:rFonts w:hint="eastAsia" w:ascii="宋体" w:hAnsi="宋体" w:eastAsia="宋体" w:cs="宋体"/>
                <w:color w:val="auto"/>
                <w:kern w:val="2"/>
                <w:szCs w:val="24"/>
                <w:highlight w:val="none"/>
                <w:lang w:eastAsia="zh-CN"/>
              </w:rPr>
            </w:pPr>
          </w:p>
        </w:tc>
        <w:tc>
          <w:tcPr>
            <w:tcW w:w="3570" w:type="dxa"/>
          </w:tcPr>
          <w:p w14:paraId="47A3AB4C">
            <w:pPr>
              <w:adjustRightInd w:val="0"/>
              <w:snapToGrid w:val="0"/>
              <w:spacing w:after="200" w:line="220" w:lineRule="atLeast"/>
              <w:rPr>
                <w:rFonts w:hint="eastAsia" w:ascii="宋体" w:hAnsi="宋体" w:eastAsia="宋体" w:cs="宋体"/>
                <w:color w:val="auto"/>
                <w:highlight w:val="none"/>
              </w:rPr>
            </w:pPr>
          </w:p>
        </w:tc>
      </w:tr>
      <w:tr w14:paraId="6E0AB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14:paraId="435DFD75">
            <w:pPr>
              <w:pStyle w:val="62"/>
              <w:shd w:val="clear" w:color="auto" w:fill="FFFFFF"/>
              <w:spacing w:line="265" w:lineRule="atLeast"/>
              <w:ind w:left="420"/>
              <w:rPr>
                <w:rFonts w:hint="eastAsia" w:ascii="宋体" w:hAnsi="宋体" w:eastAsia="宋体" w:cs="宋体"/>
                <w:color w:val="auto"/>
                <w:kern w:val="2"/>
                <w:szCs w:val="24"/>
                <w:highlight w:val="none"/>
                <w:lang w:eastAsia="zh-CN"/>
              </w:rPr>
            </w:pPr>
          </w:p>
        </w:tc>
        <w:tc>
          <w:tcPr>
            <w:tcW w:w="3570" w:type="dxa"/>
          </w:tcPr>
          <w:p w14:paraId="2CF05167">
            <w:pPr>
              <w:adjustRightInd w:val="0"/>
              <w:snapToGrid w:val="0"/>
              <w:spacing w:after="200" w:line="220" w:lineRule="atLeast"/>
              <w:rPr>
                <w:rFonts w:hint="eastAsia" w:ascii="宋体" w:hAnsi="宋体" w:eastAsia="宋体" w:cs="宋体"/>
                <w:color w:val="auto"/>
                <w:highlight w:val="none"/>
              </w:rPr>
            </w:pPr>
          </w:p>
        </w:tc>
      </w:tr>
      <w:tr w14:paraId="0D03D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14:paraId="606DE7D3">
            <w:pPr>
              <w:pStyle w:val="62"/>
              <w:shd w:val="clear" w:color="auto" w:fill="FFFFFF"/>
              <w:spacing w:line="265" w:lineRule="atLeast"/>
              <w:ind w:left="420"/>
              <w:rPr>
                <w:rFonts w:hint="eastAsia" w:ascii="宋体" w:hAnsi="宋体" w:eastAsia="宋体" w:cs="宋体"/>
                <w:color w:val="auto"/>
                <w:kern w:val="2"/>
                <w:szCs w:val="24"/>
                <w:highlight w:val="none"/>
                <w:lang w:eastAsia="zh-CN"/>
              </w:rPr>
            </w:pPr>
          </w:p>
        </w:tc>
        <w:tc>
          <w:tcPr>
            <w:tcW w:w="3570" w:type="dxa"/>
          </w:tcPr>
          <w:p w14:paraId="06A6F79F">
            <w:pPr>
              <w:adjustRightInd w:val="0"/>
              <w:snapToGrid w:val="0"/>
              <w:spacing w:after="200" w:line="220" w:lineRule="atLeast"/>
              <w:rPr>
                <w:rFonts w:hint="eastAsia" w:ascii="宋体" w:hAnsi="宋体" w:eastAsia="宋体" w:cs="宋体"/>
                <w:color w:val="auto"/>
                <w:highlight w:val="none"/>
              </w:rPr>
            </w:pPr>
          </w:p>
        </w:tc>
      </w:tr>
      <w:tr w14:paraId="67BFE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14:paraId="49FEE433">
            <w:pPr>
              <w:pStyle w:val="62"/>
              <w:shd w:val="clear" w:color="auto" w:fill="FFFFFF"/>
              <w:spacing w:line="265" w:lineRule="atLeast"/>
              <w:ind w:left="420"/>
              <w:rPr>
                <w:rFonts w:hint="eastAsia" w:ascii="宋体" w:hAnsi="宋体" w:eastAsia="宋体" w:cs="宋体"/>
                <w:color w:val="auto"/>
                <w:kern w:val="2"/>
                <w:szCs w:val="24"/>
                <w:highlight w:val="none"/>
                <w:lang w:eastAsia="zh-CN"/>
              </w:rPr>
            </w:pPr>
          </w:p>
        </w:tc>
        <w:tc>
          <w:tcPr>
            <w:tcW w:w="3570" w:type="dxa"/>
          </w:tcPr>
          <w:p w14:paraId="0A98AB34">
            <w:pPr>
              <w:adjustRightInd w:val="0"/>
              <w:snapToGrid w:val="0"/>
              <w:spacing w:after="200" w:line="220" w:lineRule="atLeast"/>
              <w:rPr>
                <w:rFonts w:hint="eastAsia" w:ascii="宋体" w:hAnsi="宋体" w:eastAsia="宋体" w:cs="宋体"/>
                <w:color w:val="auto"/>
                <w:highlight w:val="none"/>
              </w:rPr>
            </w:pPr>
          </w:p>
        </w:tc>
      </w:tr>
      <w:tr w14:paraId="79CB7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Pr>
          <w:p w14:paraId="085FDE87">
            <w:pPr>
              <w:pStyle w:val="62"/>
              <w:shd w:val="clear" w:color="auto" w:fill="FFFFFF"/>
              <w:spacing w:line="265" w:lineRule="atLeast"/>
              <w:ind w:left="420"/>
              <w:jc w:val="both"/>
              <w:rPr>
                <w:rFonts w:hint="eastAsia" w:ascii="宋体" w:hAnsi="宋体" w:eastAsia="宋体" w:cs="宋体"/>
                <w:color w:val="auto"/>
                <w:kern w:val="2"/>
                <w:szCs w:val="24"/>
                <w:highlight w:val="none"/>
                <w:lang w:eastAsia="zh-CN"/>
              </w:rPr>
            </w:pPr>
          </w:p>
        </w:tc>
      </w:tr>
      <w:tr w14:paraId="58031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Pr>
          <w:p w14:paraId="3E6442E8">
            <w:pPr>
              <w:pStyle w:val="62"/>
              <w:shd w:val="clear" w:color="auto" w:fill="FFFFFF"/>
              <w:spacing w:line="265" w:lineRule="atLeast"/>
              <w:ind w:left="420"/>
              <w:rPr>
                <w:rFonts w:hint="eastAsia" w:ascii="宋体" w:hAnsi="宋体" w:eastAsia="宋体" w:cs="宋体"/>
                <w:color w:val="auto"/>
                <w:kern w:val="2"/>
                <w:szCs w:val="24"/>
                <w:highlight w:val="none"/>
                <w:lang w:eastAsia="zh-CN"/>
              </w:rPr>
            </w:pPr>
          </w:p>
        </w:tc>
        <w:tc>
          <w:tcPr>
            <w:tcW w:w="3570" w:type="dxa"/>
          </w:tcPr>
          <w:p w14:paraId="5BA169D9">
            <w:pPr>
              <w:adjustRightInd w:val="0"/>
              <w:snapToGrid w:val="0"/>
              <w:spacing w:after="200" w:line="220" w:lineRule="atLeast"/>
              <w:rPr>
                <w:rFonts w:hint="eastAsia" w:ascii="宋体" w:hAnsi="宋体" w:eastAsia="宋体" w:cs="宋体"/>
                <w:color w:val="auto"/>
                <w:highlight w:val="none"/>
              </w:rPr>
            </w:pPr>
          </w:p>
        </w:tc>
      </w:tr>
      <w:tr w14:paraId="42F14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Pr>
          <w:p w14:paraId="56BC2129">
            <w:pPr>
              <w:pStyle w:val="62"/>
              <w:shd w:val="clear" w:color="auto" w:fill="FFFFFF"/>
              <w:spacing w:line="265" w:lineRule="atLeast"/>
              <w:ind w:left="420"/>
              <w:rPr>
                <w:rFonts w:hint="eastAsia" w:ascii="宋体" w:hAnsi="宋体" w:eastAsia="宋体" w:cs="宋体"/>
                <w:color w:val="auto"/>
                <w:kern w:val="2"/>
                <w:szCs w:val="24"/>
                <w:highlight w:val="none"/>
                <w:lang w:eastAsia="zh-CN"/>
              </w:rPr>
            </w:pPr>
          </w:p>
        </w:tc>
        <w:tc>
          <w:tcPr>
            <w:tcW w:w="3570" w:type="dxa"/>
          </w:tcPr>
          <w:p w14:paraId="49236D1D">
            <w:pPr>
              <w:adjustRightInd w:val="0"/>
              <w:snapToGrid w:val="0"/>
              <w:spacing w:after="200" w:line="220" w:lineRule="atLeast"/>
              <w:rPr>
                <w:rFonts w:hint="eastAsia" w:ascii="宋体" w:hAnsi="宋体" w:eastAsia="宋体" w:cs="宋体"/>
                <w:color w:val="auto"/>
                <w:highlight w:val="none"/>
              </w:rPr>
            </w:pPr>
          </w:p>
        </w:tc>
      </w:tr>
      <w:tr w14:paraId="49E48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Pr>
          <w:p w14:paraId="17EDB473">
            <w:pPr>
              <w:pStyle w:val="62"/>
              <w:shd w:val="clear" w:color="auto" w:fill="FFFFFF"/>
              <w:spacing w:line="265" w:lineRule="atLeast"/>
              <w:ind w:left="420"/>
              <w:rPr>
                <w:rFonts w:hint="eastAsia" w:ascii="宋体" w:hAnsi="宋体" w:eastAsia="宋体" w:cs="宋体"/>
                <w:color w:val="auto"/>
                <w:kern w:val="2"/>
                <w:szCs w:val="24"/>
                <w:highlight w:val="none"/>
                <w:lang w:eastAsia="zh-CN"/>
              </w:rPr>
            </w:pPr>
          </w:p>
        </w:tc>
        <w:tc>
          <w:tcPr>
            <w:tcW w:w="3570" w:type="dxa"/>
          </w:tcPr>
          <w:p w14:paraId="509EB178">
            <w:pPr>
              <w:adjustRightInd w:val="0"/>
              <w:snapToGrid w:val="0"/>
              <w:spacing w:after="200" w:line="220" w:lineRule="atLeast"/>
              <w:rPr>
                <w:rFonts w:hint="eastAsia" w:ascii="宋体" w:hAnsi="宋体" w:eastAsia="宋体" w:cs="宋体"/>
                <w:color w:val="auto"/>
                <w:highlight w:val="none"/>
              </w:rPr>
            </w:pPr>
          </w:p>
        </w:tc>
      </w:tr>
      <w:tr w14:paraId="7F490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Pr>
          <w:p w14:paraId="7250E279">
            <w:pPr>
              <w:pStyle w:val="62"/>
              <w:shd w:val="clear" w:color="auto" w:fill="FFFFFF"/>
              <w:spacing w:line="265" w:lineRule="atLeast"/>
              <w:ind w:left="420"/>
              <w:rPr>
                <w:rFonts w:hint="eastAsia" w:ascii="宋体" w:hAnsi="宋体" w:eastAsia="宋体" w:cs="宋体"/>
                <w:color w:val="auto"/>
                <w:kern w:val="2"/>
                <w:szCs w:val="24"/>
                <w:highlight w:val="none"/>
                <w:lang w:eastAsia="zh-CN"/>
              </w:rPr>
            </w:pPr>
          </w:p>
        </w:tc>
        <w:tc>
          <w:tcPr>
            <w:tcW w:w="3570" w:type="dxa"/>
          </w:tcPr>
          <w:p w14:paraId="15034A8D">
            <w:pPr>
              <w:adjustRightInd w:val="0"/>
              <w:snapToGrid w:val="0"/>
              <w:spacing w:after="200" w:line="220" w:lineRule="atLeast"/>
              <w:rPr>
                <w:rFonts w:hint="eastAsia" w:ascii="宋体" w:hAnsi="宋体" w:eastAsia="宋体" w:cs="宋体"/>
                <w:color w:val="auto"/>
                <w:highlight w:val="none"/>
              </w:rPr>
            </w:pPr>
          </w:p>
        </w:tc>
      </w:tr>
      <w:tr w14:paraId="24CB3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Pr>
          <w:p w14:paraId="4632EFDC">
            <w:pPr>
              <w:pStyle w:val="62"/>
              <w:shd w:val="clear" w:color="auto" w:fill="FFFFFF"/>
              <w:spacing w:line="265" w:lineRule="atLeast"/>
              <w:ind w:left="420"/>
              <w:rPr>
                <w:rFonts w:hint="eastAsia" w:ascii="宋体" w:hAnsi="宋体" w:eastAsia="宋体" w:cs="宋体"/>
                <w:color w:val="auto"/>
                <w:kern w:val="2"/>
                <w:szCs w:val="24"/>
                <w:highlight w:val="none"/>
                <w:lang w:eastAsia="zh-CN"/>
              </w:rPr>
            </w:pPr>
          </w:p>
        </w:tc>
        <w:tc>
          <w:tcPr>
            <w:tcW w:w="3570" w:type="dxa"/>
          </w:tcPr>
          <w:p w14:paraId="712740B9">
            <w:pPr>
              <w:adjustRightInd w:val="0"/>
              <w:snapToGrid w:val="0"/>
              <w:spacing w:after="200" w:line="220" w:lineRule="atLeast"/>
              <w:rPr>
                <w:rFonts w:hint="eastAsia" w:ascii="宋体" w:hAnsi="宋体" w:eastAsia="宋体" w:cs="宋体"/>
                <w:color w:val="auto"/>
                <w:highlight w:val="none"/>
              </w:rPr>
            </w:pPr>
          </w:p>
        </w:tc>
      </w:tr>
      <w:tr w14:paraId="4B718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Pr>
          <w:p w14:paraId="08F73053">
            <w:pPr>
              <w:pStyle w:val="62"/>
              <w:shd w:val="clear" w:color="auto" w:fill="FFFFFF"/>
              <w:spacing w:line="265" w:lineRule="atLeast"/>
              <w:ind w:left="420"/>
              <w:jc w:val="both"/>
              <w:rPr>
                <w:rFonts w:hint="eastAsia" w:ascii="宋体" w:hAnsi="宋体" w:eastAsia="宋体" w:cs="宋体"/>
                <w:b/>
                <w:color w:val="auto"/>
                <w:kern w:val="2"/>
                <w:szCs w:val="24"/>
                <w:highlight w:val="none"/>
                <w:lang w:eastAsia="zh-CN"/>
              </w:rPr>
            </w:pPr>
          </w:p>
        </w:tc>
      </w:tr>
      <w:tr w14:paraId="16FA8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14:paraId="662B2F0F">
            <w:pPr>
              <w:pStyle w:val="62"/>
              <w:shd w:val="clear" w:color="auto" w:fill="FFFFFF"/>
              <w:spacing w:line="265" w:lineRule="atLeast"/>
              <w:ind w:left="420"/>
              <w:rPr>
                <w:rFonts w:hint="eastAsia" w:ascii="宋体" w:hAnsi="宋体" w:eastAsia="宋体" w:cs="宋体"/>
                <w:b/>
                <w:bCs/>
                <w:color w:val="auto"/>
                <w:kern w:val="2"/>
                <w:szCs w:val="24"/>
                <w:highlight w:val="none"/>
                <w:lang w:eastAsia="zh-CN"/>
              </w:rPr>
            </w:pPr>
          </w:p>
        </w:tc>
        <w:tc>
          <w:tcPr>
            <w:tcW w:w="3570" w:type="dxa"/>
          </w:tcPr>
          <w:p w14:paraId="0B716F93">
            <w:pPr>
              <w:adjustRightInd w:val="0"/>
              <w:snapToGrid w:val="0"/>
              <w:spacing w:after="200" w:line="220" w:lineRule="atLeast"/>
              <w:rPr>
                <w:rFonts w:hint="eastAsia" w:ascii="宋体" w:hAnsi="宋体" w:eastAsia="宋体" w:cs="宋体"/>
                <w:color w:val="auto"/>
                <w:highlight w:val="none"/>
              </w:rPr>
            </w:pPr>
          </w:p>
        </w:tc>
      </w:tr>
      <w:tr w14:paraId="20B36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14:paraId="223F7E04">
            <w:pPr>
              <w:pStyle w:val="62"/>
              <w:shd w:val="clear" w:color="auto" w:fill="FFFFFF"/>
              <w:spacing w:line="265" w:lineRule="atLeast"/>
              <w:ind w:left="420"/>
              <w:rPr>
                <w:rFonts w:hint="eastAsia" w:ascii="宋体" w:hAnsi="宋体" w:eastAsia="宋体" w:cs="宋体"/>
                <w:color w:val="auto"/>
                <w:kern w:val="2"/>
                <w:szCs w:val="24"/>
                <w:highlight w:val="none"/>
                <w:lang w:eastAsia="zh-CN"/>
              </w:rPr>
            </w:pPr>
          </w:p>
        </w:tc>
        <w:tc>
          <w:tcPr>
            <w:tcW w:w="3570" w:type="dxa"/>
          </w:tcPr>
          <w:p w14:paraId="0AAE141E">
            <w:pPr>
              <w:adjustRightInd w:val="0"/>
              <w:snapToGrid w:val="0"/>
              <w:spacing w:after="200" w:line="220" w:lineRule="atLeast"/>
              <w:rPr>
                <w:rFonts w:hint="eastAsia" w:ascii="宋体" w:hAnsi="宋体" w:eastAsia="宋体" w:cs="宋体"/>
                <w:color w:val="auto"/>
                <w:highlight w:val="none"/>
              </w:rPr>
            </w:pPr>
          </w:p>
        </w:tc>
      </w:tr>
      <w:tr w14:paraId="05703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14:paraId="7ABDADFF">
            <w:pPr>
              <w:pStyle w:val="62"/>
              <w:shd w:val="clear" w:color="auto" w:fill="FFFFFF"/>
              <w:spacing w:line="265" w:lineRule="atLeast"/>
              <w:ind w:left="420"/>
              <w:rPr>
                <w:rFonts w:hint="eastAsia" w:ascii="宋体" w:hAnsi="宋体" w:eastAsia="宋体" w:cs="宋体"/>
                <w:b/>
                <w:bCs/>
                <w:color w:val="auto"/>
                <w:kern w:val="2"/>
                <w:szCs w:val="24"/>
                <w:highlight w:val="none"/>
                <w:lang w:eastAsia="zh-CN"/>
              </w:rPr>
            </w:pPr>
          </w:p>
        </w:tc>
        <w:tc>
          <w:tcPr>
            <w:tcW w:w="3570" w:type="dxa"/>
          </w:tcPr>
          <w:p w14:paraId="3CF98756">
            <w:pPr>
              <w:adjustRightInd w:val="0"/>
              <w:snapToGrid w:val="0"/>
              <w:spacing w:after="200" w:line="220" w:lineRule="atLeast"/>
              <w:rPr>
                <w:rFonts w:hint="eastAsia" w:ascii="宋体" w:hAnsi="宋体" w:eastAsia="宋体" w:cs="宋体"/>
                <w:color w:val="auto"/>
                <w:highlight w:val="none"/>
              </w:rPr>
            </w:pPr>
          </w:p>
        </w:tc>
      </w:tr>
      <w:tr w14:paraId="78782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Pr>
          <w:p w14:paraId="41E04022">
            <w:pPr>
              <w:pStyle w:val="62"/>
              <w:shd w:val="clear" w:color="auto" w:fill="FFFFFF"/>
              <w:spacing w:line="265" w:lineRule="atLeast"/>
              <w:ind w:left="420"/>
              <w:jc w:val="both"/>
              <w:rPr>
                <w:rFonts w:hint="eastAsia" w:ascii="宋体" w:hAnsi="宋体" w:eastAsia="宋体" w:cs="宋体"/>
                <w:b/>
                <w:color w:val="auto"/>
                <w:kern w:val="2"/>
                <w:szCs w:val="24"/>
                <w:highlight w:val="none"/>
                <w:lang w:eastAsia="zh-CN"/>
              </w:rPr>
            </w:pPr>
          </w:p>
        </w:tc>
      </w:tr>
      <w:tr w14:paraId="5C4E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Pr>
          <w:p w14:paraId="2EDA0565">
            <w:pPr>
              <w:pStyle w:val="62"/>
              <w:shd w:val="clear" w:color="auto" w:fill="FFFFFF"/>
              <w:spacing w:line="265" w:lineRule="atLeast"/>
              <w:ind w:left="0" w:firstLine="480" w:firstLineChars="200"/>
              <w:rPr>
                <w:rFonts w:hint="eastAsia" w:ascii="宋体" w:hAnsi="宋体" w:eastAsia="宋体" w:cs="宋体"/>
                <w:color w:val="auto"/>
                <w:kern w:val="2"/>
                <w:szCs w:val="21"/>
                <w:highlight w:val="none"/>
                <w:lang w:eastAsia="zh-CN"/>
              </w:rPr>
            </w:pPr>
          </w:p>
        </w:tc>
        <w:tc>
          <w:tcPr>
            <w:tcW w:w="3570" w:type="dxa"/>
          </w:tcPr>
          <w:p w14:paraId="4F9548B1">
            <w:pPr>
              <w:adjustRightInd w:val="0"/>
              <w:snapToGrid w:val="0"/>
              <w:spacing w:after="200" w:line="220" w:lineRule="atLeast"/>
              <w:rPr>
                <w:rFonts w:hint="eastAsia" w:ascii="宋体" w:hAnsi="宋体" w:eastAsia="宋体" w:cs="宋体"/>
                <w:color w:val="auto"/>
                <w:highlight w:val="none"/>
              </w:rPr>
            </w:pPr>
          </w:p>
        </w:tc>
      </w:tr>
      <w:tr w14:paraId="4B94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Pr>
          <w:p w14:paraId="5230A86D">
            <w:pPr>
              <w:pStyle w:val="62"/>
              <w:shd w:val="clear" w:color="auto" w:fill="FFFFFF"/>
              <w:spacing w:line="265" w:lineRule="atLeast"/>
              <w:ind w:left="0" w:firstLine="480" w:firstLineChars="200"/>
              <w:rPr>
                <w:rFonts w:hint="eastAsia" w:ascii="宋体" w:hAnsi="宋体" w:eastAsia="宋体" w:cs="宋体"/>
                <w:color w:val="auto"/>
                <w:kern w:val="2"/>
                <w:szCs w:val="24"/>
                <w:highlight w:val="none"/>
                <w:lang w:eastAsia="zh-CN"/>
              </w:rPr>
            </w:pPr>
          </w:p>
        </w:tc>
        <w:tc>
          <w:tcPr>
            <w:tcW w:w="3570" w:type="dxa"/>
          </w:tcPr>
          <w:p w14:paraId="1DB9311B">
            <w:pPr>
              <w:adjustRightInd w:val="0"/>
              <w:snapToGrid w:val="0"/>
              <w:spacing w:after="200" w:line="220" w:lineRule="atLeast"/>
              <w:rPr>
                <w:rFonts w:hint="eastAsia" w:ascii="宋体" w:hAnsi="宋体" w:eastAsia="宋体" w:cs="宋体"/>
                <w:color w:val="auto"/>
                <w:highlight w:val="none"/>
              </w:rPr>
            </w:pPr>
          </w:p>
        </w:tc>
      </w:tr>
    </w:tbl>
    <w:p w14:paraId="2BC6E50F">
      <w:pPr>
        <w:rPr>
          <w:rFonts w:hint="eastAsia" w:ascii="宋体" w:hAnsi="宋体" w:eastAsia="宋体" w:cs="宋体"/>
          <w:color w:val="auto"/>
          <w:highlight w:val="none"/>
        </w:rPr>
      </w:pPr>
    </w:p>
    <w:p w14:paraId="6E08F944">
      <w:pPr>
        <w:spacing w:afterLines="100" w:line="360" w:lineRule="auto"/>
        <w:jc w:val="center"/>
        <w:rPr>
          <w:rFonts w:hint="eastAsia" w:ascii="宋体" w:hAnsi="宋体" w:eastAsia="宋体" w:cs="宋体"/>
          <w:b/>
          <w:bCs/>
          <w:color w:val="auto"/>
          <w:szCs w:val="21"/>
          <w:highlight w:val="none"/>
        </w:rPr>
      </w:pPr>
    </w:p>
    <w:p w14:paraId="3B32FCFF">
      <w:pPr>
        <w:spacing w:afterLines="100" w:line="360" w:lineRule="auto"/>
        <w:jc w:val="center"/>
        <w:rPr>
          <w:rFonts w:hint="eastAsia" w:ascii="宋体" w:hAnsi="宋体" w:eastAsia="宋体" w:cs="宋体"/>
          <w:b/>
          <w:bCs/>
          <w:color w:val="auto"/>
          <w:szCs w:val="21"/>
          <w:highlight w:val="none"/>
        </w:rPr>
      </w:pPr>
    </w:p>
    <w:p w14:paraId="45E8624A">
      <w:pPr>
        <w:pStyle w:val="60"/>
        <w:rPr>
          <w:rFonts w:hint="eastAsia" w:ascii="宋体" w:hAnsi="宋体" w:eastAsia="宋体" w:cs="宋体"/>
          <w:b/>
          <w:bCs/>
          <w:color w:val="auto"/>
          <w:szCs w:val="21"/>
          <w:highlight w:val="none"/>
        </w:rPr>
      </w:pPr>
    </w:p>
    <w:p w14:paraId="5C3C5B3A">
      <w:pPr>
        <w:rPr>
          <w:rFonts w:hint="eastAsia" w:ascii="宋体" w:hAnsi="宋体" w:eastAsia="宋体" w:cs="宋体"/>
          <w:color w:val="auto"/>
          <w:highlight w:val="none"/>
        </w:rPr>
      </w:pPr>
    </w:p>
    <w:p w14:paraId="2582D338">
      <w:pPr>
        <w:spacing w:afterLines="100" w:line="360" w:lineRule="auto"/>
        <w:jc w:val="center"/>
        <w:rPr>
          <w:rFonts w:hint="eastAsia" w:ascii="宋体" w:hAnsi="宋体" w:eastAsia="宋体" w:cs="宋体"/>
          <w:b/>
          <w:bCs/>
          <w:color w:val="auto"/>
          <w:szCs w:val="21"/>
          <w:highlight w:val="none"/>
        </w:rPr>
      </w:pPr>
    </w:p>
    <w:p w14:paraId="087613B5">
      <w:pPr>
        <w:spacing w:afterLines="100" w:line="360" w:lineRule="auto"/>
        <w:jc w:val="center"/>
        <w:rPr>
          <w:rFonts w:hint="eastAsia" w:ascii="宋体" w:hAnsi="宋体" w:eastAsia="宋体" w:cs="宋体"/>
          <w:b/>
          <w:bCs/>
          <w:color w:val="auto"/>
          <w:szCs w:val="21"/>
          <w:highlight w:val="none"/>
        </w:rPr>
      </w:pPr>
    </w:p>
    <w:p w14:paraId="7BD6C2AF">
      <w:pPr>
        <w:spacing w:afterLines="100" w:line="360" w:lineRule="auto"/>
        <w:jc w:val="center"/>
        <w:rPr>
          <w:rFonts w:hint="eastAsia" w:ascii="宋体" w:hAnsi="宋体" w:eastAsia="宋体" w:cs="宋体"/>
          <w:b/>
          <w:bCs/>
          <w:color w:val="auto"/>
          <w:szCs w:val="21"/>
          <w:highlight w:val="none"/>
        </w:rPr>
      </w:pPr>
    </w:p>
    <w:p w14:paraId="4E483AC0">
      <w:pPr>
        <w:spacing w:afterLines="100"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响应文件主要目录</w:t>
      </w:r>
    </w:p>
    <w:p w14:paraId="362054E1">
      <w:pPr>
        <w:spacing w:line="48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一、资格性和符合性检查响应对照表</w:t>
      </w:r>
    </w:p>
    <w:p w14:paraId="4353307F">
      <w:pPr>
        <w:spacing w:line="48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二、资信证明文件</w:t>
      </w:r>
    </w:p>
    <w:p w14:paraId="1CE3E86A">
      <w:pPr>
        <w:spacing w:line="48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三、磋商响应报价表</w:t>
      </w:r>
    </w:p>
    <w:p w14:paraId="17F9DCF1">
      <w:pPr>
        <w:spacing w:line="48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四、项目需求响应表</w:t>
      </w:r>
    </w:p>
    <w:p w14:paraId="6F6BAB8E">
      <w:pPr>
        <w:spacing w:line="48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五、商务条款响应及偏离表</w:t>
      </w:r>
    </w:p>
    <w:p w14:paraId="556F47DC">
      <w:pPr>
        <w:spacing w:line="48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六、</w:t>
      </w:r>
      <w:r>
        <w:rPr>
          <w:rFonts w:hint="eastAsia" w:ascii="宋体" w:hAnsi="宋体" w:eastAsia="宋体" w:cs="宋体"/>
          <w:b/>
          <w:bCs/>
          <w:color w:val="auto"/>
          <w:szCs w:val="21"/>
          <w:highlight w:val="none"/>
          <w:lang w:val="en-US" w:eastAsia="zh-CN"/>
        </w:rPr>
        <w:t>监理</w:t>
      </w:r>
      <w:r>
        <w:rPr>
          <w:rFonts w:hint="eastAsia" w:ascii="宋体" w:hAnsi="宋体" w:eastAsia="宋体" w:cs="宋体"/>
          <w:b/>
          <w:bCs/>
          <w:color w:val="auto"/>
          <w:szCs w:val="21"/>
          <w:highlight w:val="none"/>
        </w:rPr>
        <w:t>方案</w:t>
      </w:r>
    </w:p>
    <w:p w14:paraId="7AC046F9">
      <w:pPr>
        <w:spacing w:line="48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七、项目组人员表</w:t>
      </w:r>
    </w:p>
    <w:p w14:paraId="3CF062C1">
      <w:pPr>
        <w:spacing w:line="48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八、</w:t>
      </w:r>
      <w:r>
        <w:rPr>
          <w:rFonts w:hint="eastAsia" w:ascii="宋体" w:hAnsi="宋体" w:eastAsia="宋体" w:cs="宋体"/>
          <w:b/>
          <w:color w:val="auto"/>
          <w:szCs w:val="21"/>
          <w:highlight w:val="none"/>
        </w:rPr>
        <w:t>拟投入现场的设备、检测仪器一览表</w:t>
      </w:r>
    </w:p>
    <w:p w14:paraId="0142BFDB">
      <w:pPr>
        <w:spacing w:line="48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lang w:val="en-US" w:eastAsia="zh-CN"/>
        </w:rPr>
        <w:t>九、</w:t>
      </w:r>
      <w:r>
        <w:rPr>
          <w:rFonts w:hint="eastAsia" w:ascii="宋体" w:hAnsi="宋体" w:eastAsia="宋体" w:cs="宋体"/>
          <w:b/>
          <w:bCs/>
          <w:color w:val="auto"/>
          <w:szCs w:val="21"/>
          <w:highlight w:val="none"/>
        </w:rPr>
        <w:t>类似业绩一览表</w:t>
      </w:r>
    </w:p>
    <w:p w14:paraId="6476CDB5">
      <w:pPr>
        <w:spacing w:line="48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十</w:t>
      </w:r>
      <w:r>
        <w:rPr>
          <w:rFonts w:hint="eastAsia" w:ascii="宋体" w:hAnsi="宋体" w:eastAsia="宋体" w:cs="宋体"/>
          <w:b/>
          <w:bCs/>
          <w:color w:val="auto"/>
          <w:szCs w:val="21"/>
          <w:highlight w:val="none"/>
        </w:rPr>
        <w:t>、供应商参加磋商确认函</w:t>
      </w:r>
    </w:p>
    <w:p w14:paraId="41298B19">
      <w:pPr>
        <w:spacing w:line="48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w:t>
      </w:r>
      <w:r>
        <w:rPr>
          <w:rFonts w:hint="eastAsia" w:ascii="宋体" w:hAnsi="宋体" w:eastAsia="宋体" w:cs="宋体"/>
          <w:b/>
          <w:bCs/>
          <w:color w:val="auto"/>
          <w:szCs w:val="21"/>
          <w:highlight w:val="none"/>
          <w:lang w:val="en-US" w:eastAsia="zh-CN"/>
        </w:rPr>
        <w:t>一</w:t>
      </w:r>
      <w:r>
        <w:rPr>
          <w:rFonts w:hint="eastAsia" w:ascii="宋体" w:hAnsi="宋体" w:eastAsia="宋体" w:cs="宋体"/>
          <w:b/>
          <w:bCs/>
          <w:color w:val="auto"/>
          <w:szCs w:val="21"/>
          <w:highlight w:val="none"/>
        </w:rPr>
        <w:t>、……</w:t>
      </w:r>
    </w:p>
    <w:p w14:paraId="0BA86730">
      <w:pPr>
        <w:spacing w:line="440" w:lineRule="exact"/>
        <w:ind w:firstLine="480" w:firstLineChars="200"/>
        <w:rPr>
          <w:rFonts w:hint="eastAsia" w:ascii="宋体" w:hAnsi="宋体" w:eastAsia="宋体" w:cs="宋体"/>
          <w:color w:val="auto"/>
          <w:sz w:val="24"/>
          <w:szCs w:val="24"/>
          <w:highlight w:val="none"/>
        </w:rPr>
      </w:pPr>
    </w:p>
    <w:p w14:paraId="65F8604F">
      <w:pPr>
        <w:spacing w:line="440" w:lineRule="exact"/>
        <w:ind w:firstLine="480" w:firstLineChars="200"/>
        <w:rPr>
          <w:rFonts w:hint="eastAsia" w:ascii="宋体" w:hAnsi="宋体" w:eastAsia="宋体" w:cs="宋体"/>
          <w:color w:val="auto"/>
          <w:sz w:val="24"/>
          <w:szCs w:val="24"/>
          <w:highlight w:val="none"/>
        </w:rPr>
      </w:pPr>
    </w:p>
    <w:p w14:paraId="1C8B1721">
      <w:pPr>
        <w:jc w:val="left"/>
        <w:rPr>
          <w:rFonts w:hint="eastAsia" w:ascii="宋体" w:hAnsi="宋体" w:eastAsia="宋体" w:cs="宋体"/>
          <w:b/>
          <w:color w:val="auto"/>
          <w:szCs w:val="21"/>
          <w:highlight w:val="none"/>
        </w:rPr>
      </w:pPr>
    </w:p>
    <w:p w14:paraId="2FAE802B">
      <w:pPr>
        <w:jc w:val="left"/>
        <w:rPr>
          <w:rFonts w:hint="eastAsia" w:ascii="宋体" w:hAnsi="宋体" w:eastAsia="宋体" w:cs="宋体"/>
          <w:b/>
          <w:color w:val="auto"/>
          <w:sz w:val="22"/>
          <w:szCs w:val="21"/>
          <w:highlight w:val="none"/>
        </w:rPr>
      </w:pPr>
    </w:p>
    <w:p w14:paraId="47D6DA0D">
      <w:pPr>
        <w:jc w:val="left"/>
        <w:rPr>
          <w:rFonts w:hint="eastAsia" w:ascii="宋体" w:hAnsi="宋体" w:eastAsia="宋体" w:cs="宋体"/>
          <w:b/>
          <w:color w:val="auto"/>
          <w:szCs w:val="21"/>
          <w:highlight w:val="none"/>
        </w:rPr>
      </w:pPr>
    </w:p>
    <w:p w14:paraId="3831212C">
      <w:pPr>
        <w:jc w:val="left"/>
        <w:rPr>
          <w:rFonts w:hint="eastAsia" w:ascii="宋体" w:hAnsi="宋体" w:eastAsia="宋体" w:cs="宋体"/>
          <w:b/>
          <w:color w:val="auto"/>
          <w:szCs w:val="21"/>
          <w:highlight w:val="none"/>
        </w:rPr>
      </w:pPr>
    </w:p>
    <w:p w14:paraId="44A01AD2">
      <w:pPr>
        <w:jc w:val="left"/>
        <w:rPr>
          <w:rFonts w:hint="eastAsia" w:ascii="宋体" w:hAnsi="宋体" w:eastAsia="宋体" w:cs="宋体"/>
          <w:b/>
          <w:color w:val="auto"/>
          <w:szCs w:val="21"/>
          <w:highlight w:val="none"/>
        </w:rPr>
      </w:pPr>
    </w:p>
    <w:p w14:paraId="1A71D55F">
      <w:pPr>
        <w:jc w:val="left"/>
        <w:rPr>
          <w:rFonts w:hint="eastAsia" w:ascii="宋体" w:hAnsi="宋体" w:eastAsia="宋体" w:cs="宋体"/>
          <w:b/>
          <w:color w:val="auto"/>
          <w:szCs w:val="21"/>
          <w:highlight w:val="none"/>
        </w:rPr>
      </w:pPr>
    </w:p>
    <w:p w14:paraId="06951BB0">
      <w:pPr>
        <w:jc w:val="left"/>
        <w:rPr>
          <w:rFonts w:hint="eastAsia" w:ascii="宋体" w:hAnsi="宋体" w:eastAsia="宋体" w:cs="宋体"/>
          <w:b/>
          <w:color w:val="auto"/>
          <w:szCs w:val="21"/>
          <w:highlight w:val="none"/>
        </w:rPr>
      </w:pPr>
    </w:p>
    <w:p w14:paraId="471A501C">
      <w:pPr>
        <w:jc w:val="left"/>
        <w:rPr>
          <w:rFonts w:hint="eastAsia" w:ascii="宋体" w:hAnsi="宋体" w:eastAsia="宋体" w:cs="宋体"/>
          <w:b/>
          <w:color w:val="auto"/>
          <w:szCs w:val="21"/>
          <w:highlight w:val="none"/>
        </w:rPr>
      </w:pPr>
    </w:p>
    <w:p w14:paraId="66E5AF08">
      <w:pPr>
        <w:jc w:val="left"/>
        <w:rPr>
          <w:rFonts w:hint="eastAsia" w:ascii="宋体" w:hAnsi="宋体" w:eastAsia="宋体" w:cs="宋体"/>
          <w:b/>
          <w:color w:val="auto"/>
          <w:szCs w:val="21"/>
          <w:highlight w:val="none"/>
        </w:rPr>
      </w:pPr>
    </w:p>
    <w:p w14:paraId="6F981F4B">
      <w:pPr>
        <w:jc w:val="left"/>
        <w:rPr>
          <w:rFonts w:hint="eastAsia" w:ascii="宋体" w:hAnsi="宋体" w:eastAsia="宋体" w:cs="宋体"/>
          <w:b/>
          <w:color w:val="auto"/>
          <w:szCs w:val="21"/>
          <w:highlight w:val="none"/>
        </w:rPr>
      </w:pPr>
    </w:p>
    <w:p w14:paraId="147B74C1">
      <w:pPr>
        <w:jc w:val="left"/>
        <w:rPr>
          <w:rFonts w:hint="eastAsia" w:ascii="宋体" w:hAnsi="宋体" w:eastAsia="宋体" w:cs="宋体"/>
          <w:b/>
          <w:color w:val="auto"/>
          <w:szCs w:val="21"/>
          <w:highlight w:val="none"/>
        </w:rPr>
      </w:pPr>
    </w:p>
    <w:p w14:paraId="60CC5098">
      <w:pPr>
        <w:jc w:val="left"/>
        <w:rPr>
          <w:rFonts w:hint="eastAsia" w:ascii="宋体" w:hAnsi="宋体" w:eastAsia="宋体" w:cs="宋体"/>
          <w:b/>
          <w:color w:val="auto"/>
          <w:szCs w:val="21"/>
          <w:highlight w:val="none"/>
        </w:rPr>
      </w:pPr>
    </w:p>
    <w:p w14:paraId="4D60077E">
      <w:pPr>
        <w:spacing w:line="360" w:lineRule="auto"/>
        <w:jc w:val="both"/>
        <w:rPr>
          <w:rFonts w:hint="eastAsia" w:ascii="宋体" w:hAnsi="宋体" w:eastAsia="宋体" w:cs="宋体"/>
          <w:b/>
          <w:color w:val="auto"/>
          <w:szCs w:val="21"/>
          <w:highlight w:val="none"/>
        </w:rPr>
      </w:pPr>
    </w:p>
    <w:p w14:paraId="1CF87B60">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一、资格性和符合性检查响应对照表</w:t>
      </w:r>
    </w:p>
    <w:p w14:paraId="0A323C5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磋商供应商全称（加盖公章）：</w:t>
      </w:r>
    </w:p>
    <w:tbl>
      <w:tblPr>
        <w:tblStyle w:val="33"/>
        <w:tblW w:w="10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7146"/>
        <w:gridCol w:w="1391"/>
        <w:gridCol w:w="1107"/>
      </w:tblGrid>
      <w:tr w14:paraId="2BECE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46" w:type="dxa"/>
            <w:noWrap w:val="0"/>
            <w:vAlign w:val="center"/>
          </w:tcPr>
          <w:p w14:paraId="219D582D">
            <w:pPr>
              <w:keepNext w:val="0"/>
              <w:keepLines w:val="0"/>
              <w:pageBreakBefore w:val="0"/>
              <w:widowControl w:val="0"/>
              <w:kinsoku/>
              <w:wordWrap/>
              <w:overflowPunct/>
              <w:topLinePunct w:val="0"/>
              <w:autoSpaceDE/>
              <w:autoSpaceDN/>
              <w:bidi w:val="0"/>
              <w:snapToGrid w:val="0"/>
              <w:spacing w:line="240" w:lineRule="exact"/>
              <w:jc w:val="center"/>
              <w:textAlignment w:val="auto"/>
              <w:rPr>
                <w:rFonts w:hint="eastAsia" w:ascii="宋体" w:hAnsi="宋体" w:eastAsia="宋体" w:cs="宋体"/>
                <w:b/>
                <w:i w:val="0"/>
                <w:iCs w:val="0"/>
                <w:color w:val="auto"/>
                <w:sz w:val="18"/>
                <w:szCs w:val="18"/>
                <w:highlight w:val="none"/>
                <w:u w:val="none"/>
              </w:rPr>
            </w:pPr>
            <w:r>
              <w:rPr>
                <w:rFonts w:hint="eastAsia" w:ascii="宋体" w:hAnsi="宋体" w:eastAsia="宋体" w:cs="宋体"/>
                <w:b/>
                <w:i w:val="0"/>
                <w:iCs w:val="0"/>
                <w:color w:val="auto"/>
                <w:spacing w:val="-17"/>
                <w:sz w:val="18"/>
                <w:szCs w:val="18"/>
                <w:highlight w:val="none"/>
                <w:u w:val="none"/>
              </w:rPr>
              <w:t>序号</w:t>
            </w:r>
          </w:p>
        </w:tc>
        <w:tc>
          <w:tcPr>
            <w:tcW w:w="7146" w:type="dxa"/>
            <w:noWrap w:val="0"/>
            <w:vAlign w:val="center"/>
          </w:tcPr>
          <w:p w14:paraId="54206F6E">
            <w:pPr>
              <w:keepNext w:val="0"/>
              <w:keepLines w:val="0"/>
              <w:pageBreakBefore w:val="0"/>
              <w:widowControl w:val="0"/>
              <w:kinsoku/>
              <w:wordWrap/>
              <w:overflowPunct/>
              <w:topLinePunct w:val="0"/>
              <w:autoSpaceDE/>
              <w:autoSpaceDN/>
              <w:bidi w:val="0"/>
              <w:snapToGrid w:val="0"/>
              <w:spacing w:line="240" w:lineRule="exact"/>
              <w:jc w:val="center"/>
              <w:textAlignment w:val="auto"/>
              <w:rPr>
                <w:rFonts w:hint="eastAsia" w:ascii="宋体" w:hAnsi="宋体" w:eastAsia="宋体" w:cs="宋体"/>
                <w:b/>
                <w:i w:val="0"/>
                <w:iCs w:val="0"/>
                <w:color w:val="auto"/>
                <w:sz w:val="18"/>
                <w:szCs w:val="18"/>
                <w:highlight w:val="none"/>
                <w:u w:val="none"/>
              </w:rPr>
            </w:pPr>
            <w:r>
              <w:rPr>
                <w:rFonts w:hint="eastAsia" w:ascii="宋体" w:hAnsi="宋体" w:eastAsia="宋体" w:cs="宋体"/>
                <w:b/>
                <w:i w:val="0"/>
                <w:iCs w:val="0"/>
                <w:color w:val="auto"/>
                <w:sz w:val="18"/>
                <w:szCs w:val="18"/>
                <w:highlight w:val="none"/>
                <w:u w:val="none"/>
              </w:rPr>
              <w:t>资格和符合性检查响应内容</w:t>
            </w:r>
          </w:p>
        </w:tc>
        <w:tc>
          <w:tcPr>
            <w:tcW w:w="1391" w:type="dxa"/>
            <w:noWrap w:val="0"/>
            <w:vAlign w:val="center"/>
          </w:tcPr>
          <w:p w14:paraId="6E4F2C2F">
            <w:pPr>
              <w:keepNext w:val="0"/>
              <w:keepLines w:val="0"/>
              <w:pageBreakBefore w:val="0"/>
              <w:widowControl w:val="0"/>
              <w:kinsoku/>
              <w:wordWrap/>
              <w:overflowPunct/>
              <w:topLinePunct w:val="0"/>
              <w:autoSpaceDE/>
              <w:autoSpaceDN/>
              <w:bidi w:val="0"/>
              <w:snapToGrid w:val="0"/>
              <w:spacing w:line="240" w:lineRule="exact"/>
              <w:jc w:val="center"/>
              <w:textAlignment w:val="auto"/>
              <w:rPr>
                <w:rFonts w:hint="eastAsia" w:ascii="宋体" w:hAnsi="宋体" w:eastAsia="宋体" w:cs="宋体"/>
                <w:b/>
                <w:i w:val="0"/>
                <w:iCs w:val="0"/>
                <w:color w:val="auto"/>
                <w:spacing w:val="-17"/>
                <w:sz w:val="18"/>
                <w:szCs w:val="18"/>
                <w:highlight w:val="none"/>
                <w:u w:val="none"/>
              </w:rPr>
            </w:pPr>
            <w:r>
              <w:rPr>
                <w:rFonts w:hint="eastAsia" w:ascii="宋体" w:hAnsi="宋体" w:eastAsia="宋体" w:cs="宋体"/>
                <w:b/>
                <w:i w:val="0"/>
                <w:iCs w:val="0"/>
                <w:color w:val="auto"/>
                <w:spacing w:val="-17"/>
                <w:sz w:val="18"/>
                <w:szCs w:val="18"/>
                <w:highlight w:val="none"/>
                <w:u w:val="none"/>
              </w:rPr>
              <w:t>是否响应</w:t>
            </w:r>
          </w:p>
          <w:p w14:paraId="5EAC865E">
            <w:pPr>
              <w:keepNext w:val="0"/>
              <w:keepLines w:val="0"/>
              <w:pageBreakBefore w:val="0"/>
              <w:widowControl w:val="0"/>
              <w:kinsoku/>
              <w:wordWrap/>
              <w:overflowPunct/>
              <w:topLinePunct w:val="0"/>
              <w:autoSpaceDE/>
              <w:autoSpaceDN/>
              <w:bidi w:val="0"/>
              <w:snapToGrid w:val="0"/>
              <w:spacing w:line="240" w:lineRule="exact"/>
              <w:jc w:val="center"/>
              <w:textAlignment w:val="auto"/>
              <w:rPr>
                <w:rFonts w:hint="eastAsia" w:ascii="宋体" w:hAnsi="宋体" w:eastAsia="宋体" w:cs="宋体"/>
                <w:b/>
                <w:i w:val="0"/>
                <w:iCs w:val="0"/>
                <w:color w:val="auto"/>
                <w:spacing w:val="-17"/>
                <w:sz w:val="18"/>
                <w:szCs w:val="18"/>
                <w:highlight w:val="none"/>
                <w:u w:val="none"/>
              </w:rPr>
            </w:pPr>
            <w:r>
              <w:rPr>
                <w:rFonts w:hint="eastAsia" w:ascii="宋体" w:hAnsi="宋体" w:eastAsia="宋体" w:cs="宋体"/>
                <w:b/>
                <w:i w:val="0"/>
                <w:iCs w:val="0"/>
                <w:color w:val="auto"/>
                <w:spacing w:val="-17"/>
                <w:sz w:val="18"/>
                <w:szCs w:val="18"/>
                <w:highlight w:val="none"/>
                <w:u w:val="none"/>
              </w:rPr>
              <w:t>（填是或者否）</w:t>
            </w:r>
          </w:p>
        </w:tc>
        <w:tc>
          <w:tcPr>
            <w:tcW w:w="1107" w:type="dxa"/>
            <w:noWrap w:val="0"/>
            <w:vAlign w:val="center"/>
          </w:tcPr>
          <w:p w14:paraId="5BB44540">
            <w:pPr>
              <w:keepNext w:val="0"/>
              <w:keepLines w:val="0"/>
              <w:pageBreakBefore w:val="0"/>
              <w:widowControl w:val="0"/>
              <w:kinsoku/>
              <w:wordWrap/>
              <w:overflowPunct/>
              <w:topLinePunct w:val="0"/>
              <w:autoSpaceDE/>
              <w:autoSpaceDN/>
              <w:bidi w:val="0"/>
              <w:snapToGrid w:val="0"/>
              <w:spacing w:line="240" w:lineRule="exact"/>
              <w:jc w:val="center"/>
              <w:textAlignment w:val="auto"/>
              <w:rPr>
                <w:rFonts w:hint="eastAsia" w:ascii="宋体" w:hAnsi="宋体" w:eastAsia="宋体" w:cs="宋体"/>
                <w:b/>
                <w:i w:val="0"/>
                <w:iCs w:val="0"/>
                <w:color w:val="auto"/>
                <w:spacing w:val="-17"/>
                <w:sz w:val="18"/>
                <w:szCs w:val="18"/>
                <w:highlight w:val="none"/>
                <w:u w:val="none"/>
              </w:rPr>
            </w:pPr>
            <w:r>
              <w:rPr>
                <w:rFonts w:hint="eastAsia" w:ascii="宋体" w:hAnsi="宋体" w:eastAsia="宋体" w:cs="宋体"/>
                <w:b/>
                <w:i w:val="0"/>
                <w:iCs w:val="0"/>
                <w:color w:val="auto"/>
                <w:spacing w:val="-17"/>
                <w:sz w:val="18"/>
                <w:szCs w:val="18"/>
                <w:highlight w:val="none"/>
                <w:u w:val="none"/>
              </w:rPr>
              <w:t>响应文件中的页码位置</w:t>
            </w:r>
          </w:p>
        </w:tc>
      </w:tr>
      <w:tr w14:paraId="3A57D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10190" w:type="dxa"/>
            <w:gridSpan w:val="4"/>
            <w:noWrap w:val="0"/>
            <w:vAlign w:val="center"/>
          </w:tcPr>
          <w:p w14:paraId="292515AF">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eastAsia="宋体" w:cs="宋体"/>
                <w:b/>
                <w:i w:val="0"/>
                <w:iCs w:val="0"/>
                <w:color w:val="auto"/>
                <w:sz w:val="18"/>
                <w:szCs w:val="18"/>
                <w:highlight w:val="none"/>
                <w:u w:val="none"/>
              </w:rPr>
            </w:pPr>
            <w:r>
              <w:rPr>
                <w:rFonts w:hint="eastAsia" w:ascii="宋体" w:hAnsi="宋体" w:eastAsia="宋体" w:cs="宋体"/>
                <w:b/>
                <w:i w:val="0"/>
                <w:iCs w:val="0"/>
                <w:color w:val="auto"/>
                <w:sz w:val="18"/>
                <w:szCs w:val="18"/>
                <w:highlight w:val="none"/>
                <w:u w:val="none"/>
              </w:rPr>
              <w:t>通用资格条件</w:t>
            </w:r>
          </w:p>
        </w:tc>
      </w:tr>
      <w:tr w14:paraId="72CFC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546" w:type="dxa"/>
            <w:noWrap w:val="0"/>
            <w:vAlign w:val="center"/>
          </w:tcPr>
          <w:p w14:paraId="3B61DD7C">
            <w:pPr>
              <w:keepNext w:val="0"/>
              <w:keepLines w:val="0"/>
              <w:pageBreakBefore w:val="0"/>
              <w:widowControl w:val="0"/>
              <w:kinsoku/>
              <w:wordWrap/>
              <w:overflowPunct/>
              <w:topLinePunct w:val="0"/>
              <w:autoSpaceDE/>
              <w:autoSpaceDN/>
              <w:bidi w:val="0"/>
              <w:spacing w:line="240" w:lineRule="exact"/>
              <w:jc w:val="center"/>
              <w:textAlignment w:val="auto"/>
              <w:rPr>
                <w:rFonts w:hint="eastAsia" w:ascii="宋体" w:hAnsi="宋体" w:eastAsia="宋体" w:cs="宋体"/>
                <w:b/>
                <w:i w:val="0"/>
                <w:iCs w:val="0"/>
                <w:color w:val="auto"/>
                <w:sz w:val="18"/>
                <w:szCs w:val="18"/>
                <w:highlight w:val="none"/>
                <w:u w:val="none"/>
              </w:rPr>
            </w:pPr>
            <w:r>
              <w:rPr>
                <w:rFonts w:hint="eastAsia" w:ascii="宋体" w:hAnsi="宋体" w:eastAsia="宋体" w:cs="宋体"/>
                <w:b/>
                <w:i w:val="0"/>
                <w:iCs w:val="0"/>
                <w:color w:val="auto"/>
                <w:sz w:val="18"/>
                <w:szCs w:val="18"/>
                <w:highlight w:val="none"/>
                <w:u w:val="none"/>
              </w:rPr>
              <w:t>1</w:t>
            </w:r>
          </w:p>
        </w:tc>
        <w:tc>
          <w:tcPr>
            <w:tcW w:w="7146" w:type="dxa"/>
            <w:noWrap w:val="0"/>
            <w:vAlign w:val="center"/>
          </w:tcPr>
          <w:p w14:paraId="63185D26">
            <w:pPr>
              <w:keepNext w:val="0"/>
              <w:keepLines w:val="0"/>
              <w:pageBreakBefore w:val="0"/>
              <w:widowControl w:val="0"/>
              <w:kinsoku/>
              <w:wordWrap/>
              <w:overflowPunct/>
              <w:topLinePunct w:val="0"/>
              <w:autoSpaceDE/>
              <w:autoSpaceDN/>
              <w:bidi w:val="0"/>
              <w:spacing w:line="240" w:lineRule="exact"/>
              <w:textAlignment w:val="auto"/>
              <w:outlineLvl w:val="0"/>
              <w:rPr>
                <w:rFonts w:hint="eastAsia" w:ascii="宋体" w:hAnsi="宋体" w:eastAsia="宋体" w:cs="宋体"/>
                <w:b/>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磋商响应函</w:t>
            </w:r>
            <w:r>
              <w:rPr>
                <w:rFonts w:hint="eastAsia" w:ascii="宋体" w:hAnsi="宋体" w:eastAsia="宋体" w:cs="宋体"/>
                <w:b/>
                <w:i w:val="0"/>
                <w:iCs w:val="0"/>
                <w:color w:val="auto"/>
                <w:sz w:val="18"/>
                <w:szCs w:val="18"/>
                <w:highlight w:val="none"/>
                <w:u w:val="none"/>
              </w:rPr>
              <w:t>(原件)</w:t>
            </w:r>
          </w:p>
        </w:tc>
        <w:tc>
          <w:tcPr>
            <w:tcW w:w="1391" w:type="dxa"/>
            <w:noWrap w:val="0"/>
            <w:vAlign w:val="center"/>
          </w:tcPr>
          <w:p w14:paraId="0430869D">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eastAsia="宋体" w:cs="宋体"/>
                <w:b/>
                <w:i w:val="0"/>
                <w:iCs w:val="0"/>
                <w:color w:val="auto"/>
                <w:sz w:val="18"/>
                <w:szCs w:val="18"/>
                <w:highlight w:val="none"/>
                <w:u w:val="none"/>
              </w:rPr>
            </w:pPr>
          </w:p>
        </w:tc>
        <w:tc>
          <w:tcPr>
            <w:tcW w:w="1107" w:type="dxa"/>
            <w:noWrap w:val="0"/>
            <w:vAlign w:val="center"/>
          </w:tcPr>
          <w:p w14:paraId="367536F1">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eastAsia="宋体" w:cs="宋体"/>
                <w:b/>
                <w:i w:val="0"/>
                <w:iCs w:val="0"/>
                <w:color w:val="auto"/>
                <w:sz w:val="18"/>
                <w:szCs w:val="18"/>
                <w:highlight w:val="none"/>
                <w:u w:val="none"/>
              </w:rPr>
            </w:pPr>
          </w:p>
        </w:tc>
      </w:tr>
      <w:tr w14:paraId="09D5E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546" w:type="dxa"/>
            <w:noWrap w:val="0"/>
            <w:vAlign w:val="center"/>
          </w:tcPr>
          <w:p w14:paraId="4DA77901">
            <w:pPr>
              <w:keepNext w:val="0"/>
              <w:keepLines w:val="0"/>
              <w:pageBreakBefore w:val="0"/>
              <w:widowControl w:val="0"/>
              <w:kinsoku/>
              <w:wordWrap/>
              <w:overflowPunct/>
              <w:topLinePunct w:val="0"/>
              <w:autoSpaceDE/>
              <w:autoSpaceDN/>
              <w:bidi w:val="0"/>
              <w:spacing w:line="240" w:lineRule="exact"/>
              <w:jc w:val="center"/>
              <w:textAlignment w:val="auto"/>
              <w:rPr>
                <w:rFonts w:hint="eastAsia" w:ascii="宋体" w:hAnsi="宋体" w:eastAsia="宋体" w:cs="宋体"/>
                <w:b/>
                <w:i w:val="0"/>
                <w:iCs w:val="0"/>
                <w:color w:val="auto"/>
                <w:sz w:val="18"/>
                <w:szCs w:val="18"/>
                <w:highlight w:val="none"/>
                <w:u w:val="none"/>
              </w:rPr>
            </w:pPr>
            <w:r>
              <w:rPr>
                <w:rFonts w:hint="eastAsia" w:ascii="宋体" w:hAnsi="宋体" w:eastAsia="宋体" w:cs="宋体"/>
                <w:b/>
                <w:i w:val="0"/>
                <w:iCs w:val="0"/>
                <w:color w:val="auto"/>
                <w:sz w:val="18"/>
                <w:szCs w:val="18"/>
                <w:highlight w:val="none"/>
                <w:u w:val="none"/>
              </w:rPr>
              <w:t>2</w:t>
            </w:r>
          </w:p>
        </w:tc>
        <w:tc>
          <w:tcPr>
            <w:tcW w:w="7146" w:type="dxa"/>
            <w:noWrap w:val="0"/>
            <w:vAlign w:val="center"/>
          </w:tcPr>
          <w:p w14:paraId="03D77EAD">
            <w:pPr>
              <w:keepNext w:val="0"/>
              <w:keepLines w:val="0"/>
              <w:pageBreakBefore w:val="0"/>
              <w:widowControl w:val="0"/>
              <w:kinsoku/>
              <w:wordWrap/>
              <w:overflowPunct/>
              <w:topLinePunct w:val="0"/>
              <w:autoSpaceDE/>
              <w:autoSpaceDN/>
              <w:bidi w:val="0"/>
              <w:spacing w:line="240" w:lineRule="exact"/>
              <w:textAlignment w:val="auto"/>
              <w:outlineLvl w:val="0"/>
              <w:rPr>
                <w:rFonts w:hint="eastAsia" w:ascii="宋体" w:hAnsi="宋体" w:eastAsia="宋体" w:cs="宋体"/>
                <w:b/>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资格声明</w:t>
            </w:r>
            <w:r>
              <w:rPr>
                <w:rFonts w:hint="eastAsia" w:ascii="宋体" w:hAnsi="宋体" w:eastAsia="宋体" w:cs="宋体"/>
                <w:b/>
                <w:i w:val="0"/>
                <w:iCs w:val="0"/>
                <w:color w:val="auto"/>
                <w:sz w:val="18"/>
                <w:szCs w:val="18"/>
                <w:highlight w:val="none"/>
                <w:u w:val="none"/>
              </w:rPr>
              <w:t>(原件)</w:t>
            </w:r>
          </w:p>
        </w:tc>
        <w:tc>
          <w:tcPr>
            <w:tcW w:w="1391" w:type="dxa"/>
            <w:noWrap w:val="0"/>
            <w:vAlign w:val="center"/>
          </w:tcPr>
          <w:p w14:paraId="761FBA3B">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eastAsia="宋体" w:cs="宋体"/>
                <w:b/>
                <w:i w:val="0"/>
                <w:iCs w:val="0"/>
                <w:color w:val="auto"/>
                <w:sz w:val="18"/>
                <w:szCs w:val="18"/>
                <w:highlight w:val="none"/>
                <w:u w:val="none"/>
              </w:rPr>
            </w:pPr>
          </w:p>
        </w:tc>
        <w:tc>
          <w:tcPr>
            <w:tcW w:w="1107" w:type="dxa"/>
            <w:noWrap w:val="0"/>
            <w:vAlign w:val="center"/>
          </w:tcPr>
          <w:p w14:paraId="5E89F957">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eastAsia="宋体" w:cs="宋体"/>
                <w:b/>
                <w:i w:val="0"/>
                <w:iCs w:val="0"/>
                <w:color w:val="auto"/>
                <w:sz w:val="18"/>
                <w:szCs w:val="18"/>
                <w:highlight w:val="none"/>
                <w:u w:val="none"/>
              </w:rPr>
            </w:pPr>
          </w:p>
        </w:tc>
      </w:tr>
      <w:tr w14:paraId="44705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exact"/>
          <w:jc w:val="center"/>
        </w:trPr>
        <w:tc>
          <w:tcPr>
            <w:tcW w:w="546" w:type="dxa"/>
            <w:noWrap w:val="0"/>
            <w:vAlign w:val="center"/>
          </w:tcPr>
          <w:p w14:paraId="7F0E88D2">
            <w:pPr>
              <w:keepNext w:val="0"/>
              <w:keepLines w:val="0"/>
              <w:pageBreakBefore w:val="0"/>
              <w:widowControl w:val="0"/>
              <w:kinsoku/>
              <w:wordWrap/>
              <w:overflowPunct/>
              <w:topLinePunct w:val="0"/>
              <w:autoSpaceDE/>
              <w:autoSpaceDN/>
              <w:bidi w:val="0"/>
              <w:spacing w:line="240" w:lineRule="exact"/>
              <w:jc w:val="center"/>
              <w:textAlignment w:val="auto"/>
              <w:rPr>
                <w:rFonts w:hint="eastAsia" w:ascii="宋体" w:hAnsi="宋体" w:eastAsia="宋体" w:cs="宋体"/>
                <w:b/>
                <w:i w:val="0"/>
                <w:iCs w:val="0"/>
                <w:color w:val="auto"/>
                <w:sz w:val="18"/>
                <w:szCs w:val="18"/>
                <w:highlight w:val="none"/>
                <w:u w:val="none"/>
              </w:rPr>
            </w:pPr>
            <w:r>
              <w:rPr>
                <w:rFonts w:hint="eastAsia" w:ascii="宋体" w:hAnsi="宋体" w:eastAsia="宋体" w:cs="宋体"/>
                <w:b/>
                <w:i w:val="0"/>
                <w:iCs w:val="0"/>
                <w:color w:val="auto"/>
                <w:sz w:val="18"/>
                <w:szCs w:val="18"/>
                <w:highlight w:val="none"/>
                <w:u w:val="none"/>
              </w:rPr>
              <w:t>3</w:t>
            </w:r>
          </w:p>
        </w:tc>
        <w:tc>
          <w:tcPr>
            <w:tcW w:w="7146" w:type="dxa"/>
            <w:noWrap w:val="0"/>
            <w:vAlign w:val="center"/>
          </w:tcPr>
          <w:p w14:paraId="456EE249">
            <w:pPr>
              <w:keepNext w:val="0"/>
              <w:keepLines w:val="0"/>
              <w:pageBreakBefore w:val="0"/>
              <w:widowControl w:val="0"/>
              <w:kinsoku/>
              <w:wordWrap/>
              <w:overflowPunct/>
              <w:topLinePunct w:val="0"/>
              <w:autoSpaceDE/>
              <w:autoSpaceDN/>
              <w:bidi w:val="0"/>
              <w:spacing w:line="240" w:lineRule="exact"/>
              <w:textAlignment w:val="auto"/>
              <w:outlineLvl w:val="0"/>
              <w:rPr>
                <w:rFonts w:hint="eastAsia" w:ascii="宋体" w:hAnsi="宋体" w:eastAsia="宋体" w:cs="宋体"/>
                <w:b/>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若法定代表人参加磋商的，须提供本人身份证</w:t>
            </w:r>
            <w:r>
              <w:rPr>
                <w:rFonts w:hint="eastAsia" w:ascii="宋体" w:hAnsi="宋体" w:eastAsia="宋体" w:cs="宋体"/>
                <w:b/>
                <w:bCs/>
                <w:i w:val="0"/>
                <w:iCs w:val="0"/>
                <w:color w:val="auto"/>
                <w:sz w:val="18"/>
                <w:szCs w:val="18"/>
                <w:highlight w:val="none"/>
                <w:u w:val="none"/>
              </w:rPr>
              <w:t>（复印件加盖供应商公章</w:t>
            </w:r>
            <w:r>
              <w:rPr>
                <w:rFonts w:hint="eastAsia" w:ascii="宋体" w:hAnsi="宋体" w:eastAsia="宋体" w:cs="宋体"/>
                <w:b/>
                <w:bCs/>
                <w:i w:val="0"/>
                <w:iCs w:val="0"/>
                <w:color w:val="auto"/>
                <w:sz w:val="18"/>
                <w:szCs w:val="18"/>
                <w:highlight w:val="none"/>
                <w:u w:val="none"/>
                <w:lang w:eastAsia="zh-CN"/>
              </w:rPr>
              <w:t>，</w:t>
            </w:r>
            <w:r>
              <w:rPr>
                <w:rFonts w:hint="eastAsia" w:ascii="宋体" w:hAnsi="宋体" w:eastAsia="宋体" w:cs="宋体"/>
                <w:b/>
                <w:bCs/>
                <w:i w:val="0"/>
                <w:iCs w:val="0"/>
                <w:color w:val="auto"/>
                <w:sz w:val="18"/>
                <w:szCs w:val="18"/>
                <w:highlight w:val="none"/>
                <w:u w:val="none"/>
              </w:rPr>
              <w:t>原件备查)</w:t>
            </w:r>
            <w:r>
              <w:rPr>
                <w:rFonts w:hint="eastAsia" w:ascii="宋体" w:hAnsi="宋体" w:eastAsia="宋体" w:cs="宋体"/>
                <w:i w:val="0"/>
                <w:iCs w:val="0"/>
                <w:color w:val="auto"/>
                <w:sz w:val="18"/>
                <w:szCs w:val="18"/>
                <w:highlight w:val="none"/>
                <w:u w:val="none"/>
              </w:rPr>
              <w:t>；若授权代表参加的，须提供《法人授权书》</w:t>
            </w:r>
            <w:r>
              <w:rPr>
                <w:rFonts w:hint="eastAsia" w:ascii="宋体" w:hAnsi="宋体" w:eastAsia="宋体" w:cs="宋体"/>
                <w:b/>
                <w:i w:val="0"/>
                <w:iCs w:val="0"/>
                <w:color w:val="auto"/>
                <w:sz w:val="18"/>
                <w:szCs w:val="18"/>
                <w:highlight w:val="none"/>
                <w:u w:val="none"/>
              </w:rPr>
              <w:t>原件</w:t>
            </w:r>
            <w:r>
              <w:rPr>
                <w:rFonts w:hint="eastAsia" w:ascii="宋体" w:hAnsi="宋体" w:eastAsia="宋体" w:cs="宋体"/>
                <w:i w:val="0"/>
                <w:iCs w:val="0"/>
                <w:color w:val="auto"/>
                <w:sz w:val="18"/>
                <w:szCs w:val="18"/>
                <w:highlight w:val="none"/>
                <w:u w:val="none"/>
              </w:rPr>
              <w:t>、被授权人身份证</w:t>
            </w:r>
            <w:r>
              <w:rPr>
                <w:rFonts w:hint="eastAsia" w:ascii="宋体" w:hAnsi="宋体" w:eastAsia="宋体" w:cs="宋体"/>
                <w:b/>
                <w:bCs/>
                <w:i w:val="0"/>
                <w:iCs w:val="0"/>
                <w:color w:val="auto"/>
                <w:sz w:val="18"/>
                <w:szCs w:val="18"/>
                <w:highlight w:val="none"/>
                <w:u w:val="none"/>
              </w:rPr>
              <w:t>（复印件加盖供应商公章</w:t>
            </w:r>
            <w:r>
              <w:rPr>
                <w:rFonts w:hint="eastAsia" w:ascii="宋体" w:hAnsi="宋体" w:eastAsia="宋体" w:cs="宋体"/>
                <w:b/>
                <w:bCs/>
                <w:i w:val="0"/>
                <w:iCs w:val="0"/>
                <w:color w:val="auto"/>
                <w:sz w:val="18"/>
                <w:szCs w:val="18"/>
                <w:highlight w:val="none"/>
                <w:u w:val="none"/>
                <w:lang w:eastAsia="zh-CN"/>
              </w:rPr>
              <w:t>，</w:t>
            </w:r>
            <w:r>
              <w:rPr>
                <w:rFonts w:hint="eastAsia" w:ascii="宋体" w:hAnsi="宋体" w:eastAsia="宋体" w:cs="宋体"/>
                <w:b/>
                <w:bCs/>
                <w:i w:val="0"/>
                <w:iCs w:val="0"/>
                <w:color w:val="auto"/>
                <w:sz w:val="18"/>
                <w:szCs w:val="18"/>
                <w:highlight w:val="none"/>
                <w:u w:val="none"/>
              </w:rPr>
              <w:t>原件备查）</w:t>
            </w:r>
          </w:p>
        </w:tc>
        <w:tc>
          <w:tcPr>
            <w:tcW w:w="1391" w:type="dxa"/>
            <w:noWrap w:val="0"/>
            <w:vAlign w:val="center"/>
          </w:tcPr>
          <w:p w14:paraId="24A548DE">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eastAsia="宋体" w:cs="宋体"/>
                <w:b/>
                <w:i w:val="0"/>
                <w:iCs w:val="0"/>
                <w:color w:val="auto"/>
                <w:sz w:val="18"/>
                <w:szCs w:val="18"/>
                <w:highlight w:val="none"/>
                <w:u w:val="none"/>
              </w:rPr>
            </w:pPr>
          </w:p>
        </w:tc>
        <w:tc>
          <w:tcPr>
            <w:tcW w:w="1107" w:type="dxa"/>
            <w:noWrap w:val="0"/>
            <w:vAlign w:val="center"/>
          </w:tcPr>
          <w:p w14:paraId="4268594E">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eastAsia="宋体" w:cs="宋体"/>
                <w:b/>
                <w:i w:val="0"/>
                <w:iCs w:val="0"/>
                <w:color w:val="auto"/>
                <w:sz w:val="18"/>
                <w:szCs w:val="18"/>
                <w:highlight w:val="none"/>
                <w:u w:val="none"/>
              </w:rPr>
            </w:pPr>
          </w:p>
        </w:tc>
      </w:tr>
      <w:tr w14:paraId="4B34C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exact"/>
          <w:jc w:val="center"/>
        </w:trPr>
        <w:tc>
          <w:tcPr>
            <w:tcW w:w="546" w:type="dxa"/>
            <w:noWrap w:val="0"/>
            <w:vAlign w:val="center"/>
          </w:tcPr>
          <w:p w14:paraId="5561CA1D">
            <w:pPr>
              <w:keepNext w:val="0"/>
              <w:keepLines w:val="0"/>
              <w:pageBreakBefore w:val="0"/>
              <w:widowControl w:val="0"/>
              <w:kinsoku/>
              <w:wordWrap/>
              <w:overflowPunct/>
              <w:topLinePunct w:val="0"/>
              <w:autoSpaceDE/>
              <w:autoSpaceDN/>
              <w:bidi w:val="0"/>
              <w:spacing w:line="240" w:lineRule="exact"/>
              <w:jc w:val="center"/>
              <w:textAlignment w:val="auto"/>
              <w:rPr>
                <w:rFonts w:hint="eastAsia" w:ascii="宋体" w:hAnsi="宋体" w:eastAsia="宋体" w:cs="宋体"/>
                <w:b/>
                <w:i w:val="0"/>
                <w:iCs w:val="0"/>
                <w:color w:val="auto"/>
                <w:sz w:val="18"/>
                <w:szCs w:val="18"/>
                <w:highlight w:val="none"/>
                <w:u w:val="none"/>
              </w:rPr>
            </w:pPr>
            <w:r>
              <w:rPr>
                <w:rFonts w:hint="eastAsia" w:ascii="宋体" w:hAnsi="宋体" w:eastAsia="宋体" w:cs="宋体"/>
                <w:b/>
                <w:i w:val="0"/>
                <w:iCs w:val="0"/>
                <w:color w:val="auto"/>
                <w:sz w:val="18"/>
                <w:szCs w:val="18"/>
                <w:highlight w:val="none"/>
                <w:u w:val="none"/>
              </w:rPr>
              <w:t>4</w:t>
            </w:r>
          </w:p>
        </w:tc>
        <w:tc>
          <w:tcPr>
            <w:tcW w:w="7146" w:type="dxa"/>
            <w:noWrap w:val="0"/>
            <w:vAlign w:val="center"/>
          </w:tcPr>
          <w:p w14:paraId="7098C71D">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eastAsia="宋体" w:cs="宋体"/>
                <w:b/>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营业执照副本</w:t>
            </w:r>
            <w:r>
              <w:rPr>
                <w:rFonts w:hint="eastAsia" w:ascii="宋体" w:hAnsi="宋体" w:eastAsia="宋体" w:cs="宋体"/>
                <w:b/>
                <w:i w:val="0"/>
                <w:iCs w:val="0"/>
                <w:color w:val="auto"/>
                <w:sz w:val="18"/>
                <w:szCs w:val="18"/>
                <w:highlight w:val="none"/>
                <w:u w:val="none"/>
              </w:rPr>
              <w:t>(复印件加盖供应商公章)</w:t>
            </w:r>
          </w:p>
        </w:tc>
        <w:tc>
          <w:tcPr>
            <w:tcW w:w="1391" w:type="dxa"/>
            <w:noWrap w:val="0"/>
            <w:vAlign w:val="center"/>
          </w:tcPr>
          <w:p w14:paraId="15A00B02">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eastAsia="宋体" w:cs="宋体"/>
                <w:b/>
                <w:i w:val="0"/>
                <w:iCs w:val="0"/>
                <w:color w:val="auto"/>
                <w:sz w:val="18"/>
                <w:szCs w:val="18"/>
                <w:highlight w:val="none"/>
                <w:u w:val="none"/>
              </w:rPr>
            </w:pPr>
          </w:p>
        </w:tc>
        <w:tc>
          <w:tcPr>
            <w:tcW w:w="1107" w:type="dxa"/>
            <w:noWrap w:val="0"/>
            <w:vAlign w:val="center"/>
          </w:tcPr>
          <w:p w14:paraId="25812795">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eastAsia="宋体" w:cs="宋体"/>
                <w:b/>
                <w:i w:val="0"/>
                <w:iCs w:val="0"/>
                <w:color w:val="auto"/>
                <w:sz w:val="18"/>
                <w:szCs w:val="18"/>
                <w:highlight w:val="none"/>
                <w:u w:val="none"/>
              </w:rPr>
            </w:pPr>
          </w:p>
        </w:tc>
      </w:tr>
      <w:tr w14:paraId="09E22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exact"/>
          <w:jc w:val="center"/>
        </w:trPr>
        <w:tc>
          <w:tcPr>
            <w:tcW w:w="546" w:type="dxa"/>
            <w:noWrap w:val="0"/>
            <w:vAlign w:val="center"/>
          </w:tcPr>
          <w:p w14:paraId="40E40453">
            <w:pPr>
              <w:keepNext w:val="0"/>
              <w:keepLines w:val="0"/>
              <w:pageBreakBefore w:val="0"/>
              <w:widowControl w:val="0"/>
              <w:kinsoku/>
              <w:wordWrap/>
              <w:overflowPunct/>
              <w:topLinePunct w:val="0"/>
              <w:autoSpaceDE/>
              <w:autoSpaceDN/>
              <w:bidi w:val="0"/>
              <w:spacing w:line="240" w:lineRule="exact"/>
              <w:jc w:val="center"/>
              <w:textAlignment w:val="auto"/>
              <w:rPr>
                <w:rFonts w:hint="eastAsia" w:ascii="宋体" w:hAnsi="宋体" w:eastAsia="宋体" w:cs="宋体"/>
                <w:b/>
                <w:i w:val="0"/>
                <w:iCs w:val="0"/>
                <w:color w:val="auto"/>
                <w:sz w:val="18"/>
                <w:szCs w:val="18"/>
                <w:highlight w:val="none"/>
                <w:u w:val="none"/>
              </w:rPr>
            </w:pPr>
            <w:r>
              <w:rPr>
                <w:rFonts w:hint="eastAsia" w:ascii="宋体" w:hAnsi="宋体" w:eastAsia="宋体" w:cs="宋体"/>
                <w:b/>
                <w:i w:val="0"/>
                <w:iCs w:val="0"/>
                <w:color w:val="auto"/>
                <w:sz w:val="18"/>
                <w:szCs w:val="18"/>
                <w:highlight w:val="none"/>
                <w:u w:val="none"/>
              </w:rPr>
              <w:t>5</w:t>
            </w:r>
          </w:p>
        </w:tc>
        <w:tc>
          <w:tcPr>
            <w:tcW w:w="7146" w:type="dxa"/>
            <w:noWrap w:val="0"/>
            <w:vAlign w:val="center"/>
          </w:tcPr>
          <w:p w14:paraId="71018CE7">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eastAsia="宋体" w:cs="宋体"/>
                <w:b/>
                <w:i w:val="0"/>
                <w:iCs w:val="0"/>
                <w:color w:val="auto"/>
                <w:sz w:val="18"/>
                <w:szCs w:val="18"/>
                <w:highlight w:val="none"/>
                <w:u w:val="none"/>
              </w:rPr>
            </w:pPr>
            <w:r>
              <w:rPr>
                <w:rFonts w:hint="eastAsia" w:ascii="宋体" w:hAnsi="宋体" w:eastAsia="宋体" w:cs="宋体"/>
                <w:i w:val="0"/>
                <w:iCs w:val="0"/>
                <w:color w:val="auto"/>
                <w:spacing w:val="-4"/>
                <w:sz w:val="18"/>
                <w:szCs w:val="18"/>
                <w:highlight w:val="none"/>
                <w:u w:val="none"/>
              </w:rPr>
              <w:t>依法缴纳职工社会保障资金的证明材料</w:t>
            </w:r>
            <w:r>
              <w:rPr>
                <w:rFonts w:hint="eastAsia" w:ascii="宋体" w:hAnsi="宋体" w:eastAsia="宋体" w:cs="宋体"/>
                <w:b/>
                <w:i w:val="0"/>
                <w:iCs w:val="0"/>
                <w:color w:val="auto"/>
                <w:spacing w:val="-4"/>
                <w:sz w:val="18"/>
                <w:szCs w:val="18"/>
                <w:highlight w:val="none"/>
                <w:u w:val="none"/>
              </w:rPr>
              <w:t>(复印件加盖供应商公章)(税务、银行或社会保险基金管理部门出具的近三个月（</w:t>
            </w:r>
            <w:r>
              <w:rPr>
                <w:rFonts w:hint="eastAsia" w:ascii="宋体" w:hAnsi="宋体" w:eastAsia="宋体" w:cs="宋体"/>
                <w:b/>
                <w:i w:val="0"/>
                <w:iCs w:val="0"/>
                <w:color w:val="auto"/>
                <w:spacing w:val="-4"/>
                <w:sz w:val="18"/>
                <w:szCs w:val="18"/>
                <w:highlight w:val="none"/>
                <w:u w:val="none"/>
                <w:lang w:eastAsia="zh-CN"/>
              </w:rPr>
              <w:t>2026年</w:t>
            </w:r>
            <w:r>
              <w:rPr>
                <w:rFonts w:hint="eastAsia" w:ascii="宋体" w:hAnsi="宋体" w:cs="宋体"/>
                <w:b/>
                <w:i w:val="0"/>
                <w:iCs w:val="0"/>
                <w:color w:val="auto"/>
                <w:spacing w:val="-4"/>
                <w:sz w:val="18"/>
                <w:szCs w:val="18"/>
                <w:highlight w:val="none"/>
                <w:u w:val="none"/>
                <w:lang w:val="en-US" w:eastAsia="zh-CN"/>
              </w:rPr>
              <w:t>2</w:t>
            </w:r>
            <w:r>
              <w:rPr>
                <w:rFonts w:hint="eastAsia" w:ascii="宋体" w:hAnsi="宋体" w:eastAsia="宋体" w:cs="宋体"/>
                <w:b/>
                <w:i w:val="0"/>
                <w:iCs w:val="0"/>
                <w:color w:val="auto"/>
                <w:spacing w:val="-4"/>
                <w:sz w:val="18"/>
                <w:szCs w:val="18"/>
                <w:highlight w:val="none"/>
                <w:u w:val="none"/>
                <w:lang w:eastAsia="zh-CN"/>
              </w:rPr>
              <w:t>月-2026年</w:t>
            </w:r>
            <w:r>
              <w:rPr>
                <w:rFonts w:hint="eastAsia" w:ascii="宋体" w:hAnsi="宋体" w:cs="宋体"/>
                <w:b/>
                <w:i w:val="0"/>
                <w:iCs w:val="0"/>
                <w:color w:val="auto"/>
                <w:spacing w:val="-4"/>
                <w:sz w:val="18"/>
                <w:szCs w:val="18"/>
                <w:highlight w:val="none"/>
                <w:u w:val="none"/>
                <w:lang w:val="en-US" w:eastAsia="zh-CN"/>
              </w:rPr>
              <w:t>4</w:t>
            </w:r>
            <w:r>
              <w:rPr>
                <w:rFonts w:hint="eastAsia" w:ascii="宋体" w:hAnsi="宋体" w:eastAsia="宋体" w:cs="宋体"/>
                <w:b/>
                <w:i w:val="0"/>
                <w:iCs w:val="0"/>
                <w:color w:val="auto"/>
                <w:spacing w:val="-4"/>
                <w:sz w:val="18"/>
                <w:szCs w:val="18"/>
                <w:highlight w:val="none"/>
                <w:u w:val="none"/>
                <w:lang w:eastAsia="zh-CN"/>
              </w:rPr>
              <w:t>月</w:t>
            </w:r>
            <w:r>
              <w:rPr>
                <w:rFonts w:hint="eastAsia" w:ascii="宋体" w:hAnsi="宋体" w:eastAsia="宋体" w:cs="宋体"/>
                <w:b/>
                <w:i w:val="0"/>
                <w:iCs w:val="0"/>
                <w:color w:val="auto"/>
                <w:spacing w:val="-4"/>
                <w:sz w:val="18"/>
                <w:szCs w:val="18"/>
                <w:highlight w:val="none"/>
                <w:u w:val="none"/>
              </w:rPr>
              <w:t>）内任意一个月缴纳职工社会保障资金的缴款凭证或缴款证明)</w:t>
            </w:r>
          </w:p>
        </w:tc>
        <w:tc>
          <w:tcPr>
            <w:tcW w:w="1391" w:type="dxa"/>
            <w:noWrap w:val="0"/>
            <w:vAlign w:val="center"/>
          </w:tcPr>
          <w:p w14:paraId="23CD2DCF">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eastAsia="宋体" w:cs="宋体"/>
                <w:b/>
                <w:i w:val="0"/>
                <w:iCs w:val="0"/>
                <w:color w:val="auto"/>
                <w:sz w:val="18"/>
                <w:szCs w:val="18"/>
                <w:highlight w:val="none"/>
                <w:u w:val="none"/>
              </w:rPr>
            </w:pPr>
          </w:p>
        </w:tc>
        <w:tc>
          <w:tcPr>
            <w:tcW w:w="1107" w:type="dxa"/>
            <w:noWrap w:val="0"/>
            <w:vAlign w:val="center"/>
          </w:tcPr>
          <w:p w14:paraId="25EF02A5">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eastAsia="宋体" w:cs="宋体"/>
                <w:b/>
                <w:i w:val="0"/>
                <w:iCs w:val="0"/>
                <w:color w:val="auto"/>
                <w:sz w:val="18"/>
                <w:szCs w:val="18"/>
                <w:highlight w:val="none"/>
                <w:u w:val="none"/>
              </w:rPr>
            </w:pPr>
          </w:p>
        </w:tc>
      </w:tr>
      <w:tr w14:paraId="6FCEE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exact"/>
          <w:jc w:val="center"/>
        </w:trPr>
        <w:tc>
          <w:tcPr>
            <w:tcW w:w="546" w:type="dxa"/>
            <w:noWrap w:val="0"/>
            <w:vAlign w:val="center"/>
          </w:tcPr>
          <w:p w14:paraId="056BA151">
            <w:pPr>
              <w:keepNext w:val="0"/>
              <w:keepLines w:val="0"/>
              <w:pageBreakBefore w:val="0"/>
              <w:widowControl w:val="0"/>
              <w:kinsoku/>
              <w:wordWrap/>
              <w:overflowPunct/>
              <w:topLinePunct w:val="0"/>
              <w:autoSpaceDE/>
              <w:autoSpaceDN/>
              <w:bidi w:val="0"/>
              <w:spacing w:line="240" w:lineRule="exact"/>
              <w:jc w:val="center"/>
              <w:textAlignment w:val="auto"/>
              <w:rPr>
                <w:rFonts w:hint="eastAsia" w:ascii="宋体" w:hAnsi="宋体" w:eastAsia="宋体" w:cs="宋体"/>
                <w:b/>
                <w:i w:val="0"/>
                <w:iCs w:val="0"/>
                <w:color w:val="auto"/>
                <w:sz w:val="18"/>
                <w:szCs w:val="18"/>
                <w:highlight w:val="none"/>
                <w:u w:val="none"/>
              </w:rPr>
            </w:pPr>
            <w:r>
              <w:rPr>
                <w:rFonts w:hint="eastAsia" w:ascii="宋体" w:hAnsi="宋体" w:eastAsia="宋体" w:cs="宋体"/>
                <w:b/>
                <w:i w:val="0"/>
                <w:iCs w:val="0"/>
                <w:color w:val="auto"/>
                <w:sz w:val="18"/>
                <w:szCs w:val="18"/>
                <w:highlight w:val="none"/>
                <w:u w:val="none"/>
              </w:rPr>
              <w:t>6</w:t>
            </w:r>
          </w:p>
        </w:tc>
        <w:tc>
          <w:tcPr>
            <w:tcW w:w="7146" w:type="dxa"/>
            <w:noWrap w:val="0"/>
            <w:vAlign w:val="center"/>
          </w:tcPr>
          <w:p w14:paraId="2067866D">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eastAsia="宋体" w:cs="宋体"/>
                <w:b/>
                <w:i w:val="0"/>
                <w:iCs w:val="0"/>
                <w:color w:val="auto"/>
                <w:sz w:val="18"/>
                <w:szCs w:val="18"/>
                <w:highlight w:val="none"/>
                <w:u w:val="none"/>
              </w:rPr>
            </w:pPr>
            <w:r>
              <w:rPr>
                <w:rFonts w:hint="eastAsia" w:ascii="宋体" w:hAnsi="宋体" w:eastAsia="宋体" w:cs="宋体"/>
                <w:i w:val="0"/>
                <w:iCs w:val="0"/>
                <w:color w:val="auto"/>
                <w:spacing w:val="-6"/>
                <w:sz w:val="18"/>
                <w:szCs w:val="18"/>
                <w:highlight w:val="none"/>
                <w:u w:val="none"/>
              </w:rPr>
              <w:t>供应商</w:t>
            </w:r>
            <w:r>
              <w:rPr>
                <w:rFonts w:hint="eastAsia" w:ascii="宋体" w:hAnsi="宋体" w:eastAsia="宋体" w:cs="宋体"/>
                <w:b/>
                <w:i w:val="0"/>
                <w:iCs w:val="0"/>
                <w:color w:val="auto"/>
                <w:spacing w:val="-4"/>
                <w:sz w:val="18"/>
                <w:szCs w:val="18"/>
                <w:highlight w:val="none"/>
                <w:u w:val="none"/>
              </w:rPr>
              <w:t>近三个月（</w:t>
            </w:r>
            <w:r>
              <w:rPr>
                <w:rFonts w:hint="eastAsia" w:ascii="宋体" w:hAnsi="宋体" w:eastAsia="宋体" w:cs="宋体"/>
                <w:b/>
                <w:i w:val="0"/>
                <w:iCs w:val="0"/>
                <w:color w:val="auto"/>
                <w:spacing w:val="-4"/>
                <w:sz w:val="18"/>
                <w:szCs w:val="18"/>
                <w:highlight w:val="none"/>
                <w:u w:val="none"/>
                <w:lang w:eastAsia="zh-CN"/>
              </w:rPr>
              <w:t>2026年</w:t>
            </w:r>
            <w:r>
              <w:rPr>
                <w:rFonts w:hint="eastAsia" w:ascii="宋体" w:hAnsi="宋体" w:cs="宋体"/>
                <w:b/>
                <w:i w:val="0"/>
                <w:iCs w:val="0"/>
                <w:color w:val="auto"/>
                <w:spacing w:val="-4"/>
                <w:sz w:val="18"/>
                <w:szCs w:val="18"/>
                <w:highlight w:val="none"/>
                <w:u w:val="none"/>
                <w:lang w:val="en-US" w:eastAsia="zh-CN"/>
              </w:rPr>
              <w:t>2</w:t>
            </w:r>
            <w:r>
              <w:rPr>
                <w:rFonts w:hint="eastAsia" w:ascii="宋体" w:hAnsi="宋体" w:eastAsia="宋体" w:cs="宋体"/>
                <w:b/>
                <w:i w:val="0"/>
                <w:iCs w:val="0"/>
                <w:color w:val="auto"/>
                <w:spacing w:val="-4"/>
                <w:sz w:val="18"/>
                <w:szCs w:val="18"/>
                <w:highlight w:val="none"/>
                <w:u w:val="none"/>
                <w:lang w:eastAsia="zh-CN"/>
              </w:rPr>
              <w:t>月-2026年</w:t>
            </w:r>
            <w:r>
              <w:rPr>
                <w:rFonts w:hint="eastAsia" w:ascii="宋体" w:hAnsi="宋体" w:cs="宋体"/>
                <w:b/>
                <w:i w:val="0"/>
                <w:iCs w:val="0"/>
                <w:color w:val="auto"/>
                <w:spacing w:val="-4"/>
                <w:sz w:val="18"/>
                <w:szCs w:val="18"/>
                <w:highlight w:val="none"/>
                <w:u w:val="none"/>
                <w:lang w:val="en-US" w:eastAsia="zh-CN"/>
              </w:rPr>
              <w:t>4</w:t>
            </w:r>
            <w:r>
              <w:rPr>
                <w:rFonts w:hint="eastAsia" w:ascii="宋体" w:hAnsi="宋体" w:eastAsia="宋体" w:cs="宋体"/>
                <w:b/>
                <w:i w:val="0"/>
                <w:iCs w:val="0"/>
                <w:color w:val="auto"/>
                <w:spacing w:val="-4"/>
                <w:sz w:val="18"/>
                <w:szCs w:val="18"/>
                <w:highlight w:val="none"/>
                <w:u w:val="none"/>
                <w:lang w:eastAsia="zh-CN"/>
              </w:rPr>
              <w:t>月</w:t>
            </w:r>
            <w:r>
              <w:rPr>
                <w:rFonts w:hint="eastAsia" w:ascii="宋体" w:hAnsi="宋体" w:eastAsia="宋体" w:cs="宋体"/>
                <w:b/>
                <w:i w:val="0"/>
                <w:iCs w:val="0"/>
                <w:color w:val="auto"/>
                <w:spacing w:val="-4"/>
                <w:sz w:val="18"/>
                <w:szCs w:val="18"/>
                <w:highlight w:val="none"/>
                <w:u w:val="none"/>
              </w:rPr>
              <w:t>）</w:t>
            </w:r>
            <w:r>
              <w:rPr>
                <w:rFonts w:hint="eastAsia" w:ascii="宋体" w:hAnsi="宋体" w:eastAsia="宋体" w:cs="宋体"/>
                <w:b/>
                <w:i w:val="0"/>
                <w:iCs w:val="0"/>
                <w:color w:val="auto"/>
                <w:spacing w:val="-6"/>
                <w:sz w:val="18"/>
                <w:szCs w:val="18"/>
                <w:highlight w:val="none"/>
                <w:u w:val="none"/>
              </w:rPr>
              <w:t>内</w:t>
            </w:r>
            <w:r>
              <w:rPr>
                <w:rFonts w:hint="eastAsia" w:ascii="宋体" w:hAnsi="宋体" w:eastAsia="宋体" w:cs="宋体"/>
                <w:i w:val="0"/>
                <w:iCs w:val="0"/>
                <w:color w:val="auto"/>
                <w:spacing w:val="-6"/>
                <w:sz w:val="18"/>
                <w:szCs w:val="18"/>
                <w:highlight w:val="none"/>
                <w:u w:val="none"/>
              </w:rPr>
              <w:t>任意一个月依法纳税的缴款凭证</w:t>
            </w:r>
            <w:r>
              <w:rPr>
                <w:rFonts w:hint="eastAsia" w:ascii="宋体" w:hAnsi="宋体" w:eastAsia="宋体" w:cs="宋体"/>
                <w:b/>
                <w:bCs/>
                <w:i w:val="0"/>
                <w:iCs w:val="0"/>
                <w:color w:val="auto"/>
                <w:spacing w:val="-6"/>
                <w:sz w:val="18"/>
                <w:szCs w:val="18"/>
                <w:highlight w:val="none"/>
                <w:u w:val="none"/>
              </w:rPr>
              <w:t>(复印件加盖供应商公章)</w:t>
            </w:r>
          </w:p>
        </w:tc>
        <w:tc>
          <w:tcPr>
            <w:tcW w:w="1391" w:type="dxa"/>
            <w:noWrap w:val="0"/>
            <w:vAlign w:val="center"/>
          </w:tcPr>
          <w:p w14:paraId="0DA7DF15">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eastAsia="宋体" w:cs="宋体"/>
                <w:b/>
                <w:i w:val="0"/>
                <w:iCs w:val="0"/>
                <w:color w:val="auto"/>
                <w:sz w:val="18"/>
                <w:szCs w:val="18"/>
                <w:highlight w:val="none"/>
                <w:u w:val="none"/>
              </w:rPr>
            </w:pPr>
          </w:p>
        </w:tc>
        <w:tc>
          <w:tcPr>
            <w:tcW w:w="1107" w:type="dxa"/>
            <w:noWrap w:val="0"/>
            <w:vAlign w:val="center"/>
          </w:tcPr>
          <w:p w14:paraId="2E44B548">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eastAsia="宋体" w:cs="宋体"/>
                <w:b/>
                <w:i w:val="0"/>
                <w:iCs w:val="0"/>
                <w:color w:val="auto"/>
                <w:sz w:val="18"/>
                <w:szCs w:val="18"/>
                <w:highlight w:val="none"/>
                <w:u w:val="none"/>
              </w:rPr>
            </w:pPr>
          </w:p>
        </w:tc>
      </w:tr>
      <w:tr w14:paraId="515EF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546" w:type="dxa"/>
            <w:noWrap w:val="0"/>
            <w:vAlign w:val="center"/>
          </w:tcPr>
          <w:p w14:paraId="1F1CD9EF">
            <w:pPr>
              <w:keepNext w:val="0"/>
              <w:keepLines w:val="0"/>
              <w:pageBreakBefore w:val="0"/>
              <w:widowControl w:val="0"/>
              <w:kinsoku/>
              <w:wordWrap/>
              <w:overflowPunct/>
              <w:topLinePunct w:val="0"/>
              <w:autoSpaceDE/>
              <w:autoSpaceDN/>
              <w:bidi w:val="0"/>
              <w:spacing w:line="240" w:lineRule="exact"/>
              <w:jc w:val="center"/>
              <w:textAlignment w:val="auto"/>
              <w:rPr>
                <w:rFonts w:hint="eastAsia" w:ascii="宋体" w:hAnsi="宋体" w:eastAsia="宋体" w:cs="宋体"/>
                <w:b/>
                <w:i w:val="0"/>
                <w:iCs w:val="0"/>
                <w:color w:val="auto"/>
                <w:sz w:val="18"/>
                <w:szCs w:val="18"/>
                <w:highlight w:val="none"/>
                <w:u w:val="none"/>
              </w:rPr>
            </w:pPr>
            <w:r>
              <w:rPr>
                <w:rFonts w:hint="eastAsia" w:ascii="宋体" w:hAnsi="宋体" w:eastAsia="宋体" w:cs="宋体"/>
                <w:b/>
                <w:i w:val="0"/>
                <w:iCs w:val="0"/>
                <w:color w:val="auto"/>
                <w:sz w:val="18"/>
                <w:szCs w:val="18"/>
                <w:highlight w:val="none"/>
                <w:u w:val="none"/>
              </w:rPr>
              <w:t>7</w:t>
            </w:r>
          </w:p>
        </w:tc>
        <w:tc>
          <w:tcPr>
            <w:tcW w:w="7146" w:type="dxa"/>
            <w:noWrap w:val="0"/>
            <w:vAlign w:val="center"/>
          </w:tcPr>
          <w:p w14:paraId="59A895D1">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eastAsia="宋体" w:cs="宋体"/>
                <w:b/>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供应商上一</w:t>
            </w:r>
            <w:r>
              <w:rPr>
                <w:rFonts w:hint="eastAsia" w:ascii="宋体" w:hAnsi="宋体" w:eastAsia="宋体" w:cs="宋体"/>
                <w:i w:val="0"/>
                <w:iCs w:val="0"/>
                <w:color w:val="auto"/>
                <w:kern w:val="0"/>
                <w:sz w:val="18"/>
                <w:szCs w:val="18"/>
                <w:highlight w:val="none"/>
                <w:u w:val="none"/>
              </w:rPr>
              <w:t>年度财务</w:t>
            </w:r>
            <w:r>
              <w:rPr>
                <w:rFonts w:hint="eastAsia" w:ascii="宋体" w:hAnsi="宋体" w:eastAsia="宋体" w:cs="宋体"/>
                <w:i w:val="0"/>
                <w:iCs w:val="0"/>
                <w:color w:val="auto"/>
                <w:kern w:val="0"/>
                <w:sz w:val="18"/>
                <w:szCs w:val="18"/>
                <w:highlight w:val="none"/>
                <w:u w:val="none"/>
                <w:lang w:val="en-US" w:eastAsia="zh-CN"/>
              </w:rPr>
              <w:t>状况</w:t>
            </w:r>
            <w:r>
              <w:rPr>
                <w:rFonts w:hint="eastAsia" w:ascii="宋体" w:hAnsi="宋体" w:eastAsia="宋体" w:cs="宋体"/>
                <w:i w:val="0"/>
                <w:iCs w:val="0"/>
                <w:color w:val="auto"/>
                <w:kern w:val="0"/>
                <w:sz w:val="18"/>
                <w:szCs w:val="18"/>
                <w:highlight w:val="none"/>
                <w:u w:val="none"/>
              </w:rPr>
              <w:t>报告（成立不满一年不需提供（成立不满一年不需提供</w:t>
            </w:r>
            <w:r>
              <w:rPr>
                <w:rFonts w:hint="eastAsia" w:ascii="宋体" w:hAnsi="宋体" w:eastAsia="宋体" w:cs="宋体"/>
                <w:i w:val="0"/>
                <w:iCs w:val="0"/>
                <w:color w:val="auto"/>
                <w:kern w:val="0"/>
                <w:sz w:val="18"/>
                <w:szCs w:val="18"/>
                <w:highlight w:val="none"/>
                <w:u w:val="none"/>
                <w:lang w:eastAsia="zh-CN"/>
              </w:rPr>
              <w:t>，</w:t>
            </w:r>
            <w:r>
              <w:rPr>
                <w:rFonts w:hint="eastAsia" w:ascii="宋体" w:hAnsi="宋体" w:eastAsia="宋体" w:cs="宋体"/>
                <w:i w:val="0"/>
                <w:iCs w:val="0"/>
                <w:color w:val="auto"/>
                <w:kern w:val="0"/>
                <w:sz w:val="18"/>
                <w:szCs w:val="18"/>
                <w:highlight w:val="none"/>
                <w:u w:val="none"/>
              </w:rPr>
              <w:t>如2025年度财务状况报告未出，可提供2024年财务状况报告）</w:t>
            </w:r>
            <w:r>
              <w:rPr>
                <w:rFonts w:hint="eastAsia" w:ascii="宋体" w:hAnsi="宋体" w:eastAsia="宋体" w:cs="宋体"/>
                <w:b/>
                <w:i w:val="0"/>
                <w:iCs w:val="0"/>
                <w:color w:val="auto"/>
                <w:sz w:val="18"/>
                <w:szCs w:val="18"/>
                <w:highlight w:val="none"/>
                <w:u w:val="none"/>
              </w:rPr>
              <w:t>(复印件加盖供应商公章)</w:t>
            </w:r>
          </w:p>
        </w:tc>
        <w:tc>
          <w:tcPr>
            <w:tcW w:w="1391" w:type="dxa"/>
            <w:noWrap w:val="0"/>
            <w:vAlign w:val="center"/>
          </w:tcPr>
          <w:p w14:paraId="777DB8B0">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eastAsia="宋体" w:cs="宋体"/>
                <w:b/>
                <w:i w:val="0"/>
                <w:iCs w:val="0"/>
                <w:color w:val="auto"/>
                <w:sz w:val="18"/>
                <w:szCs w:val="18"/>
                <w:highlight w:val="none"/>
                <w:u w:val="none"/>
              </w:rPr>
            </w:pPr>
          </w:p>
        </w:tc>
        <w:tc>
          <w:tcPr>
            <w:tcW w:w="1107" w:type="dxa"/>
            <w:noWrap w:val="0"/>
            <w:vAlign w:val="center"/>
          </w:tcPr>
          <w:p w14:paraId="0785E710">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eastAsia="宋体" w:cs="宋体"/>
                <w:b/>
                <w:i w:val="0"/>
                <w:iCs w:val="0"/>
                <w:color w:val="auto"/>
                <w:sz w:val="18"/>
                <w:szCs w:val="18"/>
                <w:highlight w:val="none"/>
                <w:u w:val="none"/>
              </w:rPr>
            </w:pPr>
          </w:p>
        </w:tc>
      </w:tr>
      <w:tr w14:paraId="2B9EF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exact"/>
          <w:jc w:val="center"/>
        </w:trPr>
        <w:tc>
          <w:tcPr>
            <w:tcW w:w="546" w:type="dxa"/>
            <w:noWrap w:val="0"/>
            <w:vAlign w:val="center"/>
          </w:tcPr>
          <w:p w14:paraId="3FE8F14E">
            <w:pPr>
              <w:keepNext w:val="0"/>
              <w:keepLines w:val="0"/>
              <w:pageBreakBefore w:val="0"/>
              <w:widowControl w:val="0"/>
              <w:kinsoku/>
              <w:wordWrap/>
              <w:overflowPunct/>
              <w:topLinePunct w:val="0"/>
              <w:autoSpaceDE/>
              <w:autoSpaceDN/>
              <w:bidi w:val="0"/>
              <w:spacing w:line="240" w:lineRule="exact"/>
              <w:jc w:val="center"/>
              <w:textAlignment w:val="auto"/>
              <w:rPr>
                <w:rFonts w:hint="eastAsia" w:ascii="宋体" w:hAnsi="宋体" w:eastAsia="宋体" w:cs="宋体"/>
                <w:b/>
                <w:i w:val="0"/>
                <w:iCs w:val="0"/>
                <w:color w:val="auto"/>
                <w:sz w:val="18"/>
                <w:szCs w:val="18"/>
                <w:highlight w:val="none"/>
                <w:u w:val="none"/>
              </w:rPr>
            </w:pPr>
            <w:r>
              <w:rPr>
                <w:rFonts w:hint="eastAsia" w:ascii="宋体" w:hAnsi="宋体" w:eastAsia="宋体" w:cs="宋体"/>
                <w:b/>
                <w:i w:val="0"/>
                <w:iCs w:val="0"/>
                <w:color w:val="auto"/>
                <w:sz w:val="18"/>
                <w:szCs w:val="18"/>
                <w:highlight w:val="none"/>
                <w:u w:val="none"/>
              </w:rPr>
              <w:t>8</w:t>
            </w:r>
          </w:p>
        </w:tc>
        <w:tc>
          <w:tcPr>
            <w:tcW w:w="7146" w:type="dxa"/>
            <w:noWrap w:val="0"/>
            <w:vAlign w:val="center"/>
          </w:tcPr>
          <w:p w14:paraId="63864C8E">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eastAsia="宋体" w:cs="宋体"/>
                <w:b/>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供应商参加本次采购活动前3年内在经营活动中没有重大违法记录的书面声明</w:t>
            </w:r>
            <w:r>
              <w:rPr>
                <w:rFonts w:hint="eastAsia" w:ascii="宋体" w:hAnsi="宋体" w:eastAsia="宋体" w:cs="宋体"/>
                <w:b/>
                <w:bCs/>
                <w:i w:val="0"/>
                <w:iCs w:val="0"/>
                <w:color w:val="auto"/>
                <w:sz w:val="18"/>
                <w:szCs w:val="18"/>
                <w:highlight w:val="none"/>
                <w:u w:val="none"/>
              </w:rPr>
              <w:t>（原件）</w:t>
            </w:r>
          </w:p>
        </w:tc>
        <w:tc>
          <w:tcPr>
            <w:tcW w:w="1391" w:type="dxa"/>
            <w:noWrap w:val="0"/>
            <w:vAlign w:val="center"/>
          </w:tcPr>
          <w:p w14:paraId="5E7109E8">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eastAsia="宋体" w:cs="宋体"/>
                <w:b/>
                <w:i w:val="0"/>
                <w:iCs w:val="0"/>
                <w:color w:val="auto"/>
                <w:sz w:val="18"/>
                <w:szCs w:val="18"/>
                <w:highlight w:val="none"/>
                <w:u w:val="none"/>
              </w:rPr>
            </w:pPr>
          </w:p>
        </w:tc>
        <w:tc>
          <w:tcPr>
            <w:tcW w:w="1107" w:type="dxa"/>
            <w:noWrap w:val="0"/>
            <w:vAlign w:val="center"/>
          </w:tcPr>
          <w:p w14:paraId="1C02645E">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eastAsia="宋体" w:cs="宋体"/>
                <w:b/>
                <w:i w:val="0"/>
                <w:iCs w:val="0"/>
                <w:color w:val="auto"/>
                <w:sz w:val="18"/>
                <w:szCs w:val="18"/>
                <w:highlight w:val="none"/>
                <w:u w:val="none"/>
              </w:rPr>
            </w:pPr>
          </w:p>
        </w:tc>
      </w:tr>
      <w:tr w14:paraId="6DBCC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jc w:val="center"/>
        </w:trPr>
        <w:tc>
          <w:tcPr>
            <w:tcW w:w="546" w:type="dxa"/>
            <w:noWrap w:val="0"/>
            <w:vAlign w:val="center"/>
          </w:tcPr>
          <w:p w14:paraId="42E425FF">
            <w:pPr>
              <w:keepNext w:val="0"/>
              <w:keepLines w:val="0"/>
              <w:pageBreakBefore w:val="0"/>
              <w:widowControl w:val="0"/>
              <w:kinsoku/>
              <w:wordWrap/>
              <w:overflowPunct/>
              <w:topLinePunct w:val="0"/>
              <w:autoSpaceDE/>
              <w:autoSpaceDN/>
              <w:bidi w:val="0"/>
              <w:spacing w:line="240" w:lineRule="exact"/>
              <w:jc w:val="center"/>
              <w:textAlignment w:val="auto"/>
              <w:rPr>
                <w:rFonts w:hint="eastAsia" w:ascii="宋体" w:hAnsi="宋体" w:eastAsia="宋体" w:cs="宋体"/>
                <w:b/>
                <w:i w:val="0"/>
                <w:iCs w:val="0"/>
                <w:color w:val="auto"/>
                <w:sz w:val="18"/>
                <w:szCs w:val="18"/>
                <w:highlight w:val="none"/>
                <w:u w:val="none"/>
              </w:rPr>
            </w:pPr>
            <w:r>
              <w:rPr>
                <w:rFonts w:hint="eastAsia" w:ascii="宋体" w:hAnsi="宋体" w:eastAsia="宋体" w:cs="宋体"/>
                <w:b/>
                <w:i w:val="0"/>
                <w:iCs w:val="0"/>
                <w:color w:val="auto"/>
                <w:sz w:val="18"/>
                <w:szCs w:val="18"/>
                <w:highlight w:val="none"/>
                <w:u w:val="none"/>
              </w:rPr>
              <w:t>9</w:t>
            </w:r>
          </w:p>
        </w:tc>
        <w:tc>
          <w:tcPr>
            <w:tcW w:w="7146" w:type="dxa"/>
            <w:noWrap w:val="0"/>
            <w:vAlign w:val="center"/>
          </w:tcPr>
          <w:p w14:paraId="695E7446">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未被“信用中国”网站、“中国政府采购网”列入失信被执行人、重大税收违法案件当事人名单、政府采购严重违法失信行为记录名单</w:t>
            </w:r>
            <w:r>
              <w:rPr>
                <w:rFonts w:hint="eastAsia" w:ascii="宋体" w:hAnsi="宋体" w:eastAsia="宋体" w:cs="宋体"/>
                <w:b/>
                <w:i w:val="0"/>
                <w:iCs w:val="0"/>
                <w:color w:val="auto"/>
                <w:spacing w:val="-6"/>
                <w:sz w:val="18"/>
                <w:szCs w:val="18"/>
                <w:highlight w:val="none"/>
                <w:u w:val="none"/>
              </w:rPr>
              <w:t>（提供网页查询截图并加盖供应商公章，查询时间为自磋商公告发布至开标截止时间前任意时间）</w:t>
            </w:r>
          </w:p>
        </w:tc>
        <w:tc>
          <w:tcPr>
            <w:tcW w:w="1391" w:type="dxa"/>
            <w:noWrap w:val="0"/>
            <w:vAlign w:val="center"/>
          </w:tcPr>
          <w:p w14:paraId="50F24B76">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eastAsia="宋体" w:cs="宋体"/>
                <w:b/>
                <w:i w:val="0"/>
                <w:iCs w:val="0"/>
                <w:color w:val="auto"/>
                <w:sz w:val="18"/>
                <w:szCs w:val="18"/>
                <w:highlight w:val="none"/>
                <w:u w:val="none"/>
              </w:rPr>
            </w:pPr>
          </w:p>
        </w:tc>
        <w:tc>
          <w:tcPr>
            <w:tcW w:w="1107" w:type="dxa"/>
            <w:noWrap w:val="0"/>
            <w:vAlign w:val="center"/>
          </w:tcPr>
          <w:p w14:paraId="3EDDDF0A">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eastAsia="宋体" w:cs="宋体"/>
                <w:b/>
                <w:i w:val="0"/>
                <w:iCs w:val="0"/>
                <w:color w:val="auto"/>
                <w:sz w:val="18"/>
                <w:szCs w:val="18"/>
                <w:highlight w:val="none"/>
                <w:u w:val="none"/>
              </w:rPr>
            </w:pPr>
          </w:p>
        </w:tc>
      </w:tr>
      <w:tr w14:paraId="14419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exact"/>
          <w:jc w:val="center"/>
        </w:trPr>
        <w:tc>
          <w:tcPr>
            <w:tcW w:w="546" w:type="dxa"/>
            <w:noWrap w:val="0"/>
            <w:vAlign w:val="center"/>
          </w:tcPr>
          <w:p w14:paraId="06801B3C">
            <w:pPr>
              <w:keepNext w:val="0"/>
              <w:keepLines w:val="0"/>
              <w:pageBreakBefore w:val="0"/>
              <w:widowControl w:val="0"/>
              <w:kinsoku/>
              <w:wordWrap/>
              <w:overflowPunct/>
              <w:topLinePunct w:val="0"/>
              <w:autoSpaceDE/>
              <w:autoSpaceDN/>
              <w:bidi w:val="0"/>
              <w:spacing w:line="240" w:lineRule="exact"/>
              <w:jc w:val="center"/>
              <w:textAlignment w:val="auto"/>
              <w:rPr>
                <w:rFonts w:hint="eastAsia" w:ascii="宋体" w:hAnsi="宋体" w:eastAsia="宋体" w:cs="宋体"/>
                <w:b/>
                <w:i w:val="0"/>
                <w:iCs w:val="0"/>
                <w:color w:val="auto"/>
                <w:sz w:val="18"/>
                <w:szCs w:val="18"/>
                <w:highlight w:val="none"/>
                <w:u w:val="none"/>
              </w:rPr>
            </w:pPr>
            <w:r>
              <w:rPr>
                <w:rFonts w:hint="eastAsia" w:ascii="宋体" w:hAnsi="宋体" w:eastAsia="宋体" w:cs="宋体"/>
                <w:b/>
                <w:i w:val="0"/>
                <w:iCs w:val="0"/>
                <w:color w:val="auto"/>
                <w:sz w:val="18"/>
                <w:szCs w:val="18"/>
                <w:highlight w:val="none"/>
                <w:u w:val="none"/>
              </w:rPr>
              <w:t>10</w:t>
            </w:r>
          </w:p>
        </w:tc>
        <w:tc>
          <w:tcPr>
            <w:tcW w:w="7146" w:type="dxa"/>
            <w:noWrap w:val="0"/>
            <w:vAlign w:val="center"/>
          </w:tcPr>
          <w:p w14:paraId="26EB9F2E">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eastAsia="宋体" w:cs="宋体"/>
                <w:b/>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供应商信用承诺函</w:t>
            </w:r>
            <w:r>
              <w:rPr>
                <w:rFonts w:hint="eastAsia" w:ascii="宋体" w:hAnsi="宋体" w:eastAsia="宋体" w:cs="宋体"/>
                <w:b/>
                <w:bCs/>
                <w:i w:val="0"/>
                <w:iCs w:val="0"/>
                <w:color w:val="auto"/>
                <w:sz w:val="18"/>
                <w:szCs w:val="18"/>
                <w:highlight w:val="none"/>
                <w:u w:val="none"/>
              </w:rPr>
              <w:t>（原件）</w:t>
            </w:r>
          </w:p>
        </w:tc>
        <w:tc>
          <w:tcPr>
            <w:tcW w:w="1391" w:type="dxa"/>
            <w:noWrap w:val="0"/>
            <w:vAlign w:val="center"/>
          </w:tcPr>
          <w:p w14:paraId="02611579">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eastAsia="宋体" w:cs="宋体"/>
                <w:b/>
                <w:i w:val="0"/>
                <w:iCs w:val="0"/>
                <w:color w:val="auto"/>
                <w:sz w:val="18"/>
                <w:szCs w:val="18"/>
                <w:highlight w:val="none"/>
                <w:u w:val="none"/>
              </w:rPr>
            </w:pPr>
          </w:p>
        </w:tc>
        <w:tc>
          <w:tcPr>
            <w:tcW w:w="1107" w:type="dxa"/>
            <w:noWrap w:val="0"/>
            <w:vAlign w:val="center"/>
          </w:tcPr>
          <w:p w14:paraId="68D706EB">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eastAsia="宋体" w:cs="宋体"/>
                <w:b/>
                <w:i w:val="0"/>
                <w:iCs w:val="0"/>
                <w:color w:val="auto"/>
                <w:sz w:val="18"/>
                <w:szCs w:val="18"/>
                <w:highlight w:val="none"/>
                <w:u w:val="none"/>
              </w:rPr>
            </w:pPr>
          </w:p>
        </w:tc>
      </w:tr>
      <w:tr w14:paraId="191E9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exact"/>
          <w:jc w:val="center"/>
        </w:trPr>
        <w:tc>
          <w:tcPr>
            <w:tcW w:w="10190" w:type="dxa"/>
            <w:gridSpan w:val="4"/>
            <w:noWrap w:val="0"/>
            <w:vAlign w:val="center"/>
          </w:tcPr>
          <w:p w14:paraId="2B0D11C5">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eastAsia="宋体" w:cs="宋体"/>
                <w:b/>
                <w:i w:val="0"/>
                <w:iCs w:val="0"/>
                <w:color w:val="auto"/>
                <w:sz w:val="18"/>
                <w:szCs w:val="18"/>
                <w:highlight w:val="none"/>
                <w:u w:val="none"/>
              </w:rPr>
            </w:pPr>
            <w:r>
              <w:rPr>
                <w:rFonts w:hint="eastAsia" w:ascii="宋体" w:hAnsi="宋体" w:eastAsia="宋体" w:cs="宋体"/>
                <w:b/>
                <w:bCs/>
                <w:i w:val="0"/>
                <w:iCs w:val="0"/>
                <w:color w:val="auto"/>
                <w:sz w:val="18"/>
                <w:szCs w:val="18"/>
                <w:highlight w:val="none"/>
                <w:u w:val="none"/>
              </w:rPr>
              <w:t>落实采购政策需满足的资格要求</w:t>
            </w:r>
          </w:p>
        </w:tc>
      </w:tr>
      <w:tr w14:paraId="5EB95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exact"/>
          <w:jc w:val="center"/>
        </w:trPr>
        <w:tc>
          <w:tcPr>
            <w:tcW w:w="546" w:type="dxa"/>
            <w:noWrap w:val="0"/>
            <w:vAlign w:val="center"/>
          </w:tcPr>
          <w:p w14:paraId="7E8B64C5">
            <w:pPr>
              <w:keepNext w:val="0"/>
              <w:keepLines w:val="0"/>
              <w:pageBreakBefore w:val="0"/>
              <w:widowControl w:val="0"/>
              <w:kinsoku/>
              <w:wordWrap/>
              <w:overflowPunct/>
              <w:topLinePunct w:val="0"/>
              <w:autoSpaceDE/>
              <w:autoSpaceDN/>
              <w:bidi w:val="0"/>
              <w:spacing w:line="240" w:lineRule="exact"/>
              <w:jc w:val="center"/>
              <w:textAlignment w:val="auto"/>
              <w:rPr>
                <w:rFonts w:hint="eastAsia" w:ascii="宋体" w:hAnsi="宋体" w:eastAsia="宋体" w:cs="宋体"/>
                <w:b/>
                <w:i w:val="0"/>
                <w:iCs w:val="0"/>
                <w:color w:val="auto"/>
                <w:sz w:val="18"/>
                <w:szCs w:val="18"/>
                <w:highlight w:val="none"/>
                <w:u w:val="none"/>
              </w:rPr>
            </w:pPr>
            <w:r>
              <w:rPr>
                <w:rFonts w:hint="eastAsia" w:ascii="宋体" w:hAnsi="宋体" w:eastAsia="宋体" w:cs="宋体"/>
                <w:b/>
                <w:i w:val="0"/>
                <w:iCs w:val="0"/>
                <w:color w:val="auto"/>
                <w:sz w:val="18"/>
                <w:szCs w:val="18"/>
                <w:highlight w:val="none"/>
                <w:u w:val="none"/>
              </w:rPr>
              <w:t>11</w:t>
            </w:r>
          </w:p>
        </w:tc>
        <w:tc>
          <w:tcPr>
            <w:tcW w:w="7146" w:type="dxa"/>
            <w:noWrap w:val="0"/>
            <w:vAlign w:val="center"/>
          </w:tcPr>
          <w:p w14:paraId="3D941579">
            <w:pPr>
              <w:keepNext w:val="0"/>
              <w:keepLines w:val="0"/>
              <w:pageBreakBefore w:val="0"/>
              <w:widowControl w:val="0"/>
              <w:kinsoku/>
              <w:wordWrap/>
              <w:overflowPunct/>
              <w:topLinePunct w:val="0"/>
              <w:autoSpaceDE/>
              <w:autoSpaceDN/>
              <w:bidi w:val="0"/>
              <w:spacing w:line="240" w:lineRule="exact"/>
              <w:ind w:right="0"/>
              <w:textAlignment w:val="auto"/>
              <w:rPr>
                <w:rFonts w:hint="eastAsia" w:ascii="宋体" w:hAnsi="宋体" w:eastAsia="宋体" w:cs="宋体"/>
                <w:color w:val="auto"/>
                <w:sz w:val="18"/>
                <w:szCs w:val="18"/>
                <w:highlight w:val="none"/>
              </w:rPr>
            </w:pPr>
            <w:r>
              <w:rPr>
                <w:rFonts w:hint="eastAsia" w:ascii="宋体" w:hAnsi="宋体" w:eastAsia="宋体" w:cs="宋体"/>
                <w:color w:val="auto"/>
                <w:kern w:val="2"/>
                <w:sz w:val="18"/>
                <w:szCs w:val="18"/>
                <w:highlight w:val="none"/>
                <w:lang w:val="en"/>
              </w:rPr>
              <w:t>根据《政府采购促进中小企业发展管理办法》的规定，本项目专门面向中小</w:t>
            </w:r>
            <w:r>
              <w:rPr>
                <w:rFonts w:hint="eastAsia" w:ascii="宋体" w:hAnsi="宋体" w:eastAsia="宋体" w:cs="宋体"/>
                <w:color w:val="auto"/>
                <w:kern w:val="2"/>
                <w:sz w:val="18"/>
                <w:szCs w:val="18"/>
                <w:highlight w:val="none"/>
                <w:lang w:val="en-US" w:eastAsia="zh-CN"/>
              </w:rPr>
              <w:t>微</w:t>
            </w:r>
            <w:r>
              <w:rPr>
                <w:rFonts w:hint="eastAsia" w:ascii="宋体" w:hAnsi="宋体" w:eastAsia="宋体" w:cs="宋体"/>
                <w:color w:val="auto"/>
                <w:kern w:val="2"/>
                <w:sz w:val="18"/>
                <w:szCs w:val="18"/>
                <w:highlight w:val="none"/>
                <w:lang w:val="en"/>
              </w:rPr>
              <w:t>企业采购</w:t>
            </w:r>
            <w:r>
              <w:rPr>
                <w:rFonts w:hint="eastAsia" w:ascii="宋体" w:hAnsi="宋体" w:eastAsia="宋体" w:cs="宋体"/>
                <w:color w:val="auto"/>
                <w:kern w:val="2"/>
                <w:sz w:val="18"/>
                <w:szCs w:val="18"/>
                <w:highlight w:val="none"/>
                <w:lang w:val="en" w:eastAsia="zh-CN"/>
              </w:rPr>
              <w:t>。</w:t>
            </w:r>
            <w:r>
              <w:rPr>
                <w:rFonts w:hint="eastAsia" w:ascii="宋体" w:hAnsi="宋体" w:eastAsia="宋体" w:cs="宋体"/>
                <w:color w:val="auto"/>
                <w:kern w:val="2"/>
                <w:sz w:val="18"/>
                <w:szCs w:val="18"/>
                <w:highlight w:val="none"/>
                <w:lang w:val="en"/>
              </w:rPr>
              <w:t>残疾人福利性单位、监狱和戒毒企业（简称监狱企业）视同小型、微型企业。</w:t>
            </w:r>
            <w:r>
              <w:rPr>
                <w:rFonts w:hint="eastAsia" w:ascii="宋体" w:hAnsi="宋体" w:eastAsia="宋体" w:cs="宋体"/>
                <w:color w:val="auto"/>
                <w:kern w:val="2"/>
                <w:sz w:val="18"/>
                <w:szCs w:val="18"/>
                <w:highlight w:val="none"/>
                <w:lang w:val="en" w:eastAsia="zh-CN"/>
              </w:rPr>
              <w:t>（供应商按要求填写并提供《中小微企业声明函》或《残疾人福利性单位声明函》，或提供由省级以上监狱管理局、戒毒管理局(含新疆生产建设兵团)出具的属于监狱企业的证明文件。）</w:t>
            </w:r>
          </w:p>
          <w:p w14:paraId="08B93489">
            <w:pPr>
              <w:keepNext w:val="0"/>
              <w:keepLines w:val="0"/>
              <w:pageBreakBefore w:val="0"/>
              <w:widowControl w:val="0"/>
              <w:kinsoku/>
              <w:wordWrap/>
              <w:overflowPunct/>
              <w:topLinePunct w:val="0"/>
              <w:autoSpaceDE/>
              <w:autoSpaceDN/>
              <w:bidi w:val="0"/>
              <w:adjustRightInd/>
              <w:snapToGrid w:val="0"/>
              <w:spacing w:line="240" w:lineRule="exact"/>
              <w:textAlignment w:val="auto"/>
              <w:rPr>
                <w:rFonts w:hint="eastAsia" w:ascii="宋体" w:hAnsi="宋体" w:eastAsia="宋体" w:cs="宋体"/>
                <w:b/>
                <w:i w:val="0"/>
                <w:iCs w:val="0"/>
                <w:color w:val="auto"/>
                <w:sz w:val="18"/>
                <w:szCs w:val="18"/>
                <w:highlight w:val="none"/>
                <w:u w:val="none"/>
              </w:rPr>
            </w:pPr>
          </w:p>
        </w:tc>
        <w:tc>
          <w:tcPr>
            <w:tcW w:w="1391" w:type="dxa"/>
            <w:noWrap w:val="0"/>
            <w:vAlign w:val="center"/>
          </w:tcPr>
          <w:p w14:paraId="0E78C15E">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eastAsia="宋体" w:cs="宋体"/>
                <w:b/>
                <w:i w:val="0"/>
                <w:iCs w:val="0"/>
                <w:color w:val="auto"/>
                <w:sz w:val="18"/>
                <w:szCs w:val="18"/>
                <w:highlight w:val="none"/>
                <w:u w:val="none"/>
              </w:rPr>
            </w:pPr>
          </w:p>
        </w:tc>
        <w:tc>
          <w:tcPr>
            <w:tcW w:w="1107" w:type="dxa"/>
            <w:noWrap w:val="0"/>
            <w:vAlign w:val="center"/>
          </w:tcPr>
          <w:p w14:paraId="158561C2">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eastAsia="宋体" w:cs="宋体"/>
                <w:b/>
                <w:i w:val="0"/>
                <w:iCs w:val="0"/>
                <w:color w:val="auto"/>
                <w:sz w:val="18"/>
                <w:szCs w:val="18"/>
                <w:highlight w:val="none"/>
                <w:u w:val="none"/>
              </w:rPr>
            </w:pPr>
          </w:p>
        </w:tc>
      </w:tr>
      <w:tr w14:paraId="18E16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exact"/>
          <w:jc w:val="center"/>
        </w:trPr>
        <w:tc>
          <w:tcPr>
            <w:tcW w:w="10190" w:type="dxa"/>
            <w:gridSpan w:val="4"/>
            <w:noWrap w:val="0"/>
            <w:vAlign w:val="center"/>
          </w:tcPr>
          <w:p w14:paraId="128685B4">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eastAsia="宋体" w:cs="宋体"/>
                <w:b/>
                <w:i w:val="0"/>
                <w:iCs w:val="0"/>
                <w:color w:val="auto"/>
                <w:sz w:val="18"/>
                <w:szCs w:val="18"/>
                <w:highlight w:val="none"/>
                <w:u w:val="none"/>
              </w:rPr>
            </w:pPr>
            <w:r>
              <w:rPr>
                <w:rFonts w:hint="eastAsia" w:ascii="宋体" w:hAnsi="宋体" w:eastAsia="宋体" w:cs="宋体"/>
                <w:b/>
                <w:i w:val="0"/>
                <w:iCs w:val="0"/>
                <w:color w:val="auto"/>
                <w:sz w:val="18"/>
                <w:szCs w:val="18"/>
                <w:highlight w:val="none"/>
                <w:u w:val="none"/>
              </w:rPr>
              <w:t>特定资格条件</w:t>
            </w:r>
          </w:p>
        </w:tc>
      </w:tr>
      <w:tr w14:paraId="7FA36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jc w:val="center"/>
        </w:trPr>
        <w:tc>
          <w:tcPr>
            <w:tcW w:w="546" w:type="dxa"/>
            <w:noWrap w:val="0"/>
            <w:vAlign w:val="center"/>
          </w:tcPr>
          <w:p w14:paraId="65BBBCE1">
            <w:pPr>
              <w:keepNext w:val="0"/>
              <w:keepLines w:val="0"/>
              <w:pageBreakBefore w:val="0"/>
              <w:widowControl w:val="0"/>
              <w:kinsoku/>
              <w:wordWrap/>
              <w:overflowPunct/>
              <w:topLinePunct w:val="0"/>
              <w:autoSpaceDE/>
              <w:autoSpaceDN/>
              <w:bidi w:val="0"/>
              <w:spacing w:line="240" w:lineRule="exact"/>
              <w:jc w:val="center"/>
              <w:textAlignment w:val="auto"/>
              <w:rPr>
                <w:rFonts w:hint="eastAsia" w:ascii="宋体" w:hAnsi="宋体" w:eastAsia="宋体" w:cs="宋体"/>
                <w:b/>
                <w:i w:val="0"/>
                <w:iCs w:val="0"/>
                <w:color w:val="auto"/>
                <w:sz w:val="18"/>
                <w:szCs w:val="18"/>
                <w:highlight w:val="none"/>
                <w:u w:val="none"/>
              </w:rPr>
            </w:pPr>
            <w:r>
              <w:rPr>
                <w:rFonts w:hint="eastAsia" w:ascii="宋体" w:hAnsi="宋体" w:eastAsia="宋体" w:cs="宋体"/>
                <w:b/>
                <w:i w:val="0"/>
                <w:iCs w:val="0"/>
                <w:color w:val="auto"/>
                <w:sz w:val="18"/>
                <w:szCs w:val="18"/>
                <w:highlight w:val="none"/>
                <w:u w:val="none"/>
              </w:rPr>
              <w:t>12</w:t>
            </w:r>
          </w:p>
        </w:tc>
        <w:tc>
          <w:tcPr>
            <w:tcW w:w="7146" w:type="dxa"/>
            <w:noWrap w:val="0"/>
            <w:vAlign w:val="center"/>
          </w:tcPr>
          <w:p w14:paraId="43A879A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供应商具备</w:t>
            </w:r>
            <w:r>
              <w:rPr>
                <w:rFonts w:hint="eastAsia" w:ascii="宋体" w:hAnsi="宋体" w:cs="宋体"/>
                <w:i w:val="0"/>
                <w:iCs w:val="0"/>
                <w:color w:val="auto"/>
                <w:sz w:val="18"/>
                <w:szCs w:val="18"/>
                <w:highlight w:val="none"/>
                <w:u w:val="none"/>
                <w:lang w:val="en-US" w:eastAsia="zh-CN"/>
              </w:rPr>
              <w:t>有效期内的</w:t>
            </w:r>
            <w:r>
              <w:rPr>
                <w:rFonts w:hint="eastAsia" w:ascii="宋体" w:hAnsi="宋体" w:eastAsia="宋体" w:cs="宋体"/>
                <w:i w:val="0"/>
                <w:iCs w:val="0"/>
                <w:color w:val="auto"/>
                <w:sz w:val="18"/>
                <w:szCs w:val="18"/>
                <w:highlight w:val="none"/>
                <w:u w:val="none"/>
              </w:rPr>
              <w:t>工程监理综合资质或</w:t>
            </w:r>
            <w:r>
              <w:rPr>
                <w:rFonts w:hint="eastAsia" w:ascii="宋体" w:hAnsi="宋体" w:eastAsia="宋体" w:cs="宋体"/>
                <w:i w:val="0"/>
                <w:iCs w:val="0"/>
                <w:color w:val="auto"/>
                <w:sz w:val="18"/>
                <w:szCs w:val="18"/>
                <w:highlight w:val="none"/>
                <w:u w:val="none"/>
                <w:lang w:val="en-US" w:eastAsia="zh-CN"/>
              </w:rPr>
              <w:t>市政公用工程</w:t>
            </w:r>
            <w:r>
              <w:rPr>
                <w:rFonts w:hint="eastAsia" w:ascii="宋体" w:hAnsi="宋体" w:eastAsia="宋体" w:cs="宋体"/>
                <w:i w:val="0"/>
                <w:iCs w:val="0"/>
                <w:color w:val="auto"/>
                <w:sz w:val="18"/>
                <w:szCs w:val="18"/>
                <w:highlight w:val="none"/>
                <w:u w:val="none"/>
              </w:rPr>
              <w:t>监理丙级及以上资质</w:t>
            </w:r>
            <w:r>
              <w:rPr>
                <w:rFonts w:hint="eastAsia" w:ascii="宋体" w:hAnsi="宋体" w:eastAsia="宋体" w:cs="宋体"/>
                <w:b/>
                <w:bCs/>
                <w:i w:val="0"/>
                <w:iCs w:val="0"/>
                <w:color w:val="auto"/>
                <w:sz w:val="18"/>
                <w:szCs w:val="18"/>
                <w:highlight w:val="none"/>
                <w:u w:val="none"/>
              </w:rPr>
              <w:t>(复印件加盖供应商公章)</w:t>
            </w:r>
          </w:p>
        </w:tc>
        <w:tc>
          <w:tcPr>
            <w:tcW w:w="1391" w:type="dxa"/>
            <w:noWrap w:val="0"/>
            <w:vAlign w:val="center"/>
          </w:tcPr>
          <w:p w14:paraId="0F0FB649">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eastAsia="宋体" w:cs="宋体"/>
                <w:b/>
                <w:i w:val="0"/>
                <w:iCs w:val="0"/>
                <w:color w:val="auto"/>
                <w:sz w:val="18"/>
                <w:szCs w:val="18"/>
                <w:highlight w:val="none"/>
                <w:u w:val="none"/>
              </w:rPr>
            </w:pPr>
          </w:p>
        </w:tc>
        <w:tc>
          <w:tcPr>
            <w:tcW w:w="1107" w:type="dxa"/>
            <w:noWrap w:val="0"/>
            <w:vAlign w:val="center"/>
          </w:tcPr>
          <w:p w14:paraId="7ABB6D50">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eastAsia="宋体" w:cs="宋体"/>
                <w:b/>
                <w:i w:val="0"/>
                <w:iCs w:val="0"/>
                <w:color w:val="auto"/>
                <w:sz w:val="18"/>
                <w:szCs w:val="18"/>
                <w:highlight w:val="none"/>
                <w:u w:val="none"/>
              </w:rPr>
            </w:pPr>
          </w:p>
        </w:tc>
      </w:tr>
      <w:tr w14:paraId="28C00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exact"/>
          <w:jc w:val="center"/>
        </w:trPr>
        <w:tc>
          <w:tcPr>
            <w:tcW w:w="546" w:type="dxa"/>
            <w:noWrap w:val="0"/>
            <w:vAlign w:val="center"/>
          </w:tcPr>
          <w:p w14:paraId="340BD906">
            <w:pPr>
              <w:keepNext w:val="0"/>
              <w:keepLines w:val="0"/>
              <w:pageBreakBefore w:val="0"/>
              <w:widowControl w:val="0"/>
              <w:kinsoku/>
              <w:wordWrap/>
              <w:overflowPunct/>
              <w:topLinePunct w:val="0"/>
              <w:autoSpaceDE/>
              <w:autoSpaceDN/>
              <w:bidi w:val="0"/>
              <w:spacing w:line="240" w:lineRule="exact"/>
              <w:jc w:val="center"/>
              <w:textAlignment w:val="auto"/>
              <w:rPr>
                <w:rFonts w:hint="eastAsia" w:ascii="宋体" w:hAnsi="宋体" w:eastAsia="宋体" w:cs="宋体"/>
                <w:b/>
                <w:i w:val="0"/>
                <w:iCs w:val="0"/>
                <w:color w:val="auto"/>
                <w:sz w:val="18"/>
                <w:szCs w:val="18"/>
                <w:highlight w:val="none"/>
                <w:u w:val="none"/>
              </w:rPr>
            </w:pPr>
            <w:r>
              <w:rPr>
                <w:rFonts w:hint="eastAsia" w:ascii="宋体" w:hAnsi="宋体" w:eastAsia="宋体" w:cs="宋体"/>
                <w:b/>
                <w:i w:val="0"/>
                <w:iCs w:val="0"/>
                <w:color w:val="auto"/>
                <w:sz w:val="18"/>
                <w:szCs w:val="18"/>
                <w:highlight w:val="none"/>
                <w:u w:val="none"/>
              </w:rPr>
              <w:t>13</w:t>
            </w:r>
          </w:p>
        </w:tc>
        <w:tc>
          <w:tcPr>
            <w:tcW w:w="7146" w:type="dxa"/>
            <w:noWrap w:val="0"/>
            <w:vAlign w:val="center"/>
          </w:tcPr>
          <w:p w14:paraId="163081F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拟派项目总监为本公司正式员工，正常缴纳社会保险，具备</w:t>
            </w:r>
            <w:r>
              <w:rPr>
                <w:rFonts w:hint="eastAsia" w:ascii="宋体" w:hAnsi="宋体" w:eastAsia="宋体" w:cs="宋体"/>
                <w:i w:val="0"/>
                <w:iCs w:val="0"/>
                <w:color w:val="auto"/>
                <w:sz w:val="18"/>
                <w:szCs w:val="18"/>
                <w:highlight w:val="none"/>
                <w:u w:val="none"/>
                <w:lang w:val="en-US" w:eastAsia="zh-CN"/>
              </w:rPr>
              <w:t>市政公用</w:t>
            </w:r>
            <w:r>
              <w:rPr>
                <w:rFonts w:hint="eastAsia" w:ascii="宋体" w:hAnsi="宋体" w:eastAsia="宋体" w:cs="宋体"/>
                <w:i w:val="0"/>
                <w:iCs w:val="0"/>
                <w:color w:val="auto"/>
                <w:sz w:val="18"/>
                <w:szCs w:val="18"/>
                <w:highlight w:val="none"/>
                <w:u w:val="none"/>
              </w:rPr>
              <w:t xml:space="preserve">工程国家注册监理工程师资格 </w:t>
            </w:r>
            <w:r>
              <w:rPr>
                <w:rFonts w:hint="eastAsia" w:ascii="宋体" w:hAnsi="宋体" w:eastAsia="宋体" w:cs="宋体"/>
                <w:b/>
                <w:bCs/>
                <w:i w:val="0"/>
                <w:iCs w:val="0"/>
                <w:color w:val="auto"/>
                <w:sz w:val="18"/>
                <w:szCs w:val="18"/>
                <w:highlight w:val="none"/>
                <w:u w:val="none"/>
              </w:rPr>
              <w:t>(提供拟派项目总监</w:t>
            </w:r>
            <w:r>
              <w:rPr>
                <w:rFonts w:hint="eastAsia" w:ascii="宋体" w:hAnsi="宋体" w:eastAsia="宋体" w:cs="宋体"/>
                <w:b/>
                <w:bCs/>
                <w:i w:val="0"/>
                <w:iCs w:val="0"/>
                <w:color w:val="auto"/>
                <w:sz w:val="18"/>
                <w:szCs w:val="18"/>
                <w:highlight w:val="none"/>
                <w:u w:val="none"/>
                <w:lang w:val="en-US" w:eastAsia="zh-CN"/>
              </w:rPr>
              <w:t>市政公用</w:t>
            </w:r>
            <w:r>
              <w:rPr>
                <w:rFonts w:hint="eastAsia" w:ascii="宋体" w:hAnsi="宋体" w:eastAsia="宋体" w:cs="宋体"/>
                <w:b/>
                <w:bCs/>
                <w:i w:val="0"/>
                <w:iCs w:val="0"/>
                <w:color w:val="auto"/>
                <w:sz w:val="18"/>
                <w:szCs w:val="18"/>
                <w:highlight w:val="none"/>
                <w:u w:val="none"/>
              </w:rPr>
              <w:t>工程国家注册监理工程师证书和供应商为其缴纳的</w:t>
            </w:r>
            <w:r>
              <w:rPr>
                <w:rFonts w:hint="eastAsia" w:ascii="宋体" w:hAnsi="宋体" w:eastAsia="宋体" w:cs="宋体"/>
                <w:b/>
                <w:bCs/>
                <w:i w:val="0"/>
                <w:iCs w:val="0"/>
                <w:color w:val="auto"/>
                <w:sz w:val="18"/>
                <w:szCs w:val="18"/>
                <w:highlight w:val="none"/>
                <w:u w:val="none"/>
                <w:lang w:val="en-US" w:eastAsia="zh-CN"/>
              </w:rPr>
              <w:t>近</w:t>
            </w:r>
            <w:r>
              <w:rPr>
                <w:rFonts w:hint="eastAsia" w:ascii="宋体" w:hAnsi="宋体" w:eastAsia="宋体" w:cs="宋体"/>
                <w:b/>
                <w:bCs/>
                <w:i w:val="0"/>
                <w:iCs w:val="0"/>
                <w:color w:val="auto"/>
                <w:sz w:val="18"/>
                <w:szCs w:val="18"/>
                <w:highlight w:val="none"/>
                <w:u w:val="none"/>
              </w:rPr>
              <w:t>三个月</w:t>
            </w:r>
            <w:r>
              <w:rPr>
                <w:rFonts w:hint="eastAsia" w:ascii="宋体" w:hAnsi="宋体" w:eastAsia="宋体" w:cs="宋体"/>
                <w:b/>
                <w:bCs/>
                <w:i w:val="0"/>
                <w:iCs w:val="0"/>
                <w:color w:val="auto"/>
                <w:sz w:val="18"/>
                <w:szCs w:val="18"/>
                <w:highlight w:val="none"/>
                <w:u w:val="none"/>
                <w:lang w:eastAsia="zh-CN"/>
              </w:rPr>
              <w:t>（</w:t>
            </w:r>
            <w:r>
              <w:rPr>
                <w:rFonts w:hint="eastAsia" w:ascii="宋体" w:hAnsi="宋体" w:eastAsia="宋体" w:cs="宋体"/>
                <w:b/>
                <w:bCs/>
                <w:i w:val="0"/>
                <w:iCs w:val="0"/>
                <w:color w:val="auto"/>
                <w:sz w:val="18"/>
                <w:szCs w:val="18"/>
                <w:highlight w:val="none"/>
                <w:u w:val="none"/>
              </w:rPr>
              <w:t>202</w:t>
            </w:r>
            <w:r>
              <w:rPr>
                <w:rFonts w:hint="eastAsia" w:ascii="宋体" w:hAnsi="宋体" w:eastAsia="宋体" w:cs="宋体"/>
                <w:b/>
                <w:bCs/>
                <w:i w:val="0"/>
                <w:iCs w:val="0"/>
                <w:color w:val="auto"/>
                <w:sz w:val="18"/>
                <w:szCs w:val="18"/>
                <w:highlight w:val="none"/>
                <w:u w:val="none"/>
                <w:lang w:val="en-US" w:eastAsia="zh-CN"/>
              </w:rPr>
              <w:t>6</w:t>
            </w:r>
            <w:r>
              <w:rPr>
                <w:rFonts w:hint="eastAsia" w:ascii="宋体" w:hAnsi="宋体" w:eastAsia="宋体" w:cs="宋体"/>
                <w:b/>
                <w:bCs/>
                <w:i w:val="0"/>
                <w:iCs w:val="0"/>
                <w:color w:val="auto"/>
                <w:sz w:val="18"/>
                <w:szCs w:val="18"/>
                <w:highlight w:val="none"/>
                <w:u w:val="none"/>
              </w:rPr>
              <w:t>年</w:t>
            </w:r>
            <w:r>
              <w:rPr>
                <w:rFonts w:hint="eastAsia" w:ascii="宋体" w:hAnsi="宋体" w:cs="宋体"/>
                <w:b/>
                <w:bCs/>
                <w:i w:val="0"/>
                <w:iCs w:val="0"/>
                <w:color w:val="auto"/>
                <w:sz w:val="18"/>
                <w:szCs w:val="18"/>
                <w:highlight w:val="none"/>
                <w:u w:val="none"/>
                <w:lang w:val="en-US" w:eastAsia="zh-CN"/>
              </w:rPr>
              <w:t>2</w:t>
            </w:r>
            <w:r>
              <w:rPr>
                <w:rFonts w:hint="eastAsia" w:ascii="宋体" w:hAnsi="宋体" w:eastAsia="宋体" w:cs="宋体"/>
                <w:b/>
                <w:bCs/>
                <w:i w:val="0"/>
                <w:iCs w:val="0"/>
                <w:color w:val="auto"/>
                <w:sz w:val="18"/>
                <w:szCs w:val="18"/>
                <w:highlight w:val="none"/>
                <w:u w:val="none"/>
              </w:rPr>
              <w:t>月至202</w:t>
            </w:r>
            <w:r>
              <w:rPr>
                <w:rFonts w:hint="eastAsia" w:ascii="宋体" w:hAnsi="宋体" w:eastAsia="宋体" w:cs="宋体"/>
                <w:b/>
                <w:bCs/>
                <w:i w:val="0"/>
                <w:iCs w:val="0"/>
                <w:color w:val="auto"/>
                <w:sz w:val="18"/>
                <w:szCs w:val="18"/>
                <w:highlight w:val="none"/>
                <w:u w:val="none"/>
                <w:lang w:val="en-US" w:eastAsia="zh-CN"/>
              </w:rPr>
              <w:t>6</w:t>
            </w:r>
            <w:r>
              <w:rPr>
                <w:rFonts w:hint="eastAsia" w:ascii="宋体" w:hAnsi="宋体" w:eastAsia="宋体" w:cs="宋体"/>
                <w:b/>
                <w:bCs/>
                <w:i w:val="0"/>
                <w:iCs w:val="0"/>
                <w:color w:val="auto"/>
                <w:sz w:val="18"/>
                <w:szCs w:val="18"/>
                <w:highlight w:val="none"/>
                <w:u w:val="none"/>
              </w:rPr>
              <w:t>年</w:t>
            </w:r>
            <w:r>
              <w:rPr>
                <w:rFonts w:hint="eastAsia" w:ascii="宋体" w:hAnsi="宋体" w:cs="宋体"/>
                <w:b/>
                <w:bCs/>
                <w:i w:val="0"/>
                <w:iCs w:val="0"/>
                <w:color w:val="auto"/>
                <w:sz w:val="18"/>
                <w:szCs w:val="18"/>
                <w:highlight w:val="none"/>
                <w:u w:val="none"/>
                <w:lang w:val="en-US" w:eastAsia="zh-CN"/>
              </w:rPr>
              <w:t>4</w:t>
            </w:r>
            <w:r>
              <w:rPr>
                <w:rFonts w:hint="eastAsia" w:ascii="宋体" w:hAnsi="宋体" w:eastAsia="宋体" w:cs="宋体"/>
                <w:b/>
                <w:bCs/>
                <w:i w:val="0"/>
                <w:iCs w:val="0"/>
                <w:color w:val="auto"/>
                <w:sz w:val="18"/>
                <w:szCs w:val="18"/>
                <w:highlight w:val="none"/>
                <w:u w:val="none"/>
              </w:rPr>
              <w:t>月</w:t>
            </w:r>
            <w:r>
              <w:rPr>
                <w:rFonts w:hint="eastAsia" w:ascii="宋体" w:hAnsi="宋体" w:eastAsia="宋体" w:cs="宋体"/>
                <w:b/>
                <w:bCs/>
                <w:i w:val="0"/>
                <w:iCs w:val="0"/>
                <w:color w:val="auto"/>
                <w:sz w:val="18"/>
                <w:szCs w:val="18"/>
                <w:highlight w:val="none"/>
                <w:u w:val="none"/>
                <w:lang w:eastAsia="zh-CN"/>
              </w:rPr>
              <w:t>）</w:t>
            </w:r>
            <w:r>
              <w:rPr>
                <w:rFonts w:hint="eastAsia" w:ascii="宋体" w:hAnsi="宋体" w:eastAsia="宋体" w:cs="宋体"/>
                <w:b/>
                <w:bCs/>
                <w:i w:val="0"/>
                <w:iCs w:val="0"/>
                <w:color w:val="auto"/>
                <w:sz w:val="18"/>
                <w:szCs w:val="18"/>
                <w:highlight w:val="none"/>
                <w:u w:val="none"/>
              </w:rPr>
              <w:t>内任意一个月的社保证明</w:t>
            </w:r>
            <w:r>
              <w:rPr>
                <w:rFonts w:hint="eastAsia" w:ascii="宋体" w:hAnsi="宋体" w:eastAsia="宋体" w:cs="宋体"/>
                <w:b/>
                <w:bCs/>
                <w:i w:val="0"/>
                <w:iCs w:val="0"/>
                <w:color w:val="auto"/>
                <w:sz w:val="18"/>
                <w:szCs w:val="18"/>
                <w:highlight w:val="none"/>
                <w:u w:val="none"/>
                <w:lang w:eastAsia="zh-CN"/>
              </w:rPr>
              <w:t>（</w:t>
            </w:r>
            <w:r>
              <w:rPr>
                <w:rFonts w:hint="eastAsia" w:ascii="宋体" w:hAnsi="宋体" w:eastAsia="宋体" w:cs="宋体"/>
                <w:b/>
                <w:bCs/>
                <w:i w:val="0"/>
                <w:iCs w:val="0"/>
                <w:color w:val="auto"/>
                <w:sz w:val="18"/>
                <w:szCs w:val="18"/>
                <w:highlight w:val="none"/>
                <w:u w:val="none"/>
              </w:rPr>
              <w:t>复印件加盖供应商公章)</w:t>
            </w:r>
          </w:p>
        </w:tc>
        <w:tc>
          <w:tcPr>
            <w:tcW w:w="1391" w:type="dxa"/>
            <w:noWrap w:val="0"/>
            <w:vAlign w:val="center"/>
          </w:tcPr>
          <w:p w14:paraId="36F48355">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eastAsia="宋体" w:cs="宋体"/>
                <w:b/>
                <w:i w:val="0"/>
                <w:iCs w:val="0"/>
                <w:color w:val="auto"/>
                <w:sz w:val="18"/>
                <w:szCs w:val="18"/>
                <w:highlight w:val="none"/>
                <w:u w:val="none"/>
              </w:rPr>
            </w:pPr>
          </w:p>
        </w:tc>
        <w:tc>
          <w:tcPr>
            <w:tcW w:w="1107" w:type="dxa"/>
            <w:noWrap w:val="0"/>
            <w:vAlign w:val="center"/>
          </w:tcPr>
          <w:p w14:paraId="2905BB6A">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eastAsia="宋体" w:cs="宋体"/>
                <w:b/>
                <w:i w:val="0"/>
                <w:iCs w:val="0"/>
                <w:color w:val="auto"/>
                <w:sz w:val="18"/>
                <w:szCs w:val="18"/>
                <w:highlight w:val="none"/>
                <w:u w:val="none"/>
              </w:rPr>
            </w:pPr>
          </w:p>
        </w:tc>
      </w:tr>
      <w:tr w14:paraId="3BDB5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exact"/>
          <w:jc w:val="center"/>
        </w:trPr>
        <w:tc>
          <w:tcPr>
            <w:tcW w:w="546" w:type="dxa"/>
            <w:noWrap w:val="0"/>
            <w:vAlign w:val="center"/>
          </w:tcPr>
          <w:p w14:paraId="04FD887D">
            <w:pPr>
              <w:keepNext w:val="0"/>
              <w:keepLines w:val="0"/>
              <w:pageBreakBefore w:val="0"/>
              <w:widowControl w:val="0"/>
              <w:kinsoku/>
              <w:wordWrap/>
              <w:overflowPunct/>
              <w:topLinePunct w:val="0"/>
              <w:autoSpaceDE/>
              <w:autoSpaceDN/>
              <w:bidi w:val="0"/>
              <w:spacing w:line="240" w:lineRule="exact"/>
              <w:jc w:val="center"/>
              <w:textAlignment w:val="auto"/>
              <w:rPr>
                <w:rFonts w:hint="eastAsia" w:ascii="宋体" w:hAnsi="宋体" w:eastAsia="宋体" w:cs="宋体"/>
                <w:b/>
                <w:i w:val="0"/>
                <w:iCs w:val="0"/>
                <w:color w:val="auto"/>
                <w:sz w:val="18"/>
                <w:szCs w:val="18"/>
                <w:highlight w:val="none"/>
                <w:u w:val="none"/>
              </w:rPr>
            </w:pPr>
            <w:r>
              <w:rPr>
                <w:rFonts w:hint="eastAsia" w:ascii="宋体" w:hAnsi="宋体" w:eastAsia="宋体" w:cs="宋体"/>
                <w:b/>
                <w:i w:val="0"/>
                <w:iCs w:val="0"/>
                <w:color w:val="auto"/>
                <w:sz w:val="18"/>
                <w:szCs w:val="18"/>
                <w:highlight w:val="none"/>
                <w:u w:val="none"/>
              </w:rPr>
              <w:t>14</w:t>
            </w:r>
          </w:p>
        </w:tc>
        <w:tc>
          <w:tcPr>
            <w:tcW w:w="7146" w:type="dxa"/>
            <w:noWrap w:val="0"/>
            <w:vAlign w:val="center"/>
          </w:tcPr>
          <w:p w14:paraId="6BBDAB4B">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拟派项目总监无在手工程或项目总监在手工程符合扬建工（2014）8号文件的规定；项目总监不得同时在两个或者两个以上单位受聘或者执业：（1）同时在两个及以上单位签订劳动合同或交纳社会保险；（2）将本人执（职）业资格证书同时注册在两个及以上单位</w:t>
            </w:r>
            <w:r>
              <w:rPr>
                <w:rFonts w:hint="eastAsia" w:ascii="宋体" w:hAnsi="宋体" w:eastAsia="宋体" w:cs="宋体"/>
                <w:b/>
                <w:bCs/>
                <w:i w:val="0"/>
                <w:iCs w:val="0"/>
                <w:color w:val="auto"/>
                <w:sz w:val="18"/>
                <w:szCs w:val="18"/>
                <w:highlight w:val="none"/>
                <w:u w:val="none"/>
              </w:rPr>
              <w:t>（提供拟派项目总监无在手工程或在手工程情况符合扬建工（2014）8号文件规定的承诺原件）</w:t>
            </w:r>
          </w:p>
        </w:tc>
        <w:tc>
          <w:tcPr>
            <w:tcW w:w="1391" w:type="dxa"/>
            <w:noWrap w:val="0"/>
            <w:vAlign w:val="center"/>
          </w:tcPr>
          <w:p w14:paraId="66325401">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eastAsia="宋体" w:cs="宋体"/>
                <w:b/>
                <w:i w:val="0"/>
                <w:iCs w:val="0"/>
                <w:color w:val="auto"/>
                <w:sz w:val="18"/>
                <w:szCs w:val="18"/>
                <w:highlight w:val="none"/>
                <w:u w:val="none"/>
              </w:rPr>
            </w:pPr>
          </w:p>
        </w:tc>
        <w:tc>
          <w:tcPr>
            <w:tcW w:w="1107" w:type="dxa"/>
            <w:noWrap w:val="0"/>
            <w:vAlign w:val="center"/>
          </w:tcPr>
          <w:p w14:paraId="3680C463">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eastAsia="宋体" w:cs="宋体"/>
                <w:b/>
                <w:i w:val="0"/>
                <w:iCs w:val="0"/>
                <w:color w:val="auto"/>
                <w:sz w:val="18"/>
                <w:szCs w:val="18"/>
                <w:highlight w:val="none"/>
                <w:u w:val="none"/>
              </w:rPr>
            </w:pPr>
          </w:p>
        </w:tc>
      </w:tr>
      <w:tr w14:paraId="14EDF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exact"/>
          <w:jc w:val="center"/>
        </w:trPr>
        <w:tc>
          <w:tcPr>
            <w:tcW w:w="546" w:type="dxa"/>
            <w:noWrap w:val="0"/>
            <w:vAlign w:val="center"/>
          </w:tcPr>
          <w:p w14:paraId="493BE496">
            <w:pPr>
              <w:keepNext w:val="0"/>
              <w:keepLines w:val="0"/>
              <w:pageBreakBefore w:val="0"/>
              <w:widowControl w:val="0"/>
              <w:kinsoku/>
              <w:wordWrap/>
              <w:overflowPunct/>
              <w:topLinePunct w:val="0"/>
              <w:autoSpaceDE/>
              <w:autoSpaceDN/>
              <w:bidi w:val="0"/>
              <w:spacing w:line="240" w:lineRule="exact"/>
              <w:jc w:val="center"/>
              <w:textAlignment w:val="auto"/>
              <w:rPr>
                <w:rFonts w:hint="eastAsia" w:ascii="宋体" w:hAnsi="宋体" w:eastAsia="宋体" w:cs="宋体"/>
                <w:b/>
                <w:i w:val="0"/>
                <w:iCs w:val="0"/>
                <w:color w:val="auto"/>
                <w:sz w:val="18"/>
                <w:szCs w:val="18"/>
                <w:highlight w:val="none"/>
                <w:u w:val="none"/>
              </w:rPr>
            </w:pPr>
            <w:r>
              <w:rPr>
                <w:rFonts w:hint="eastAsia" w:ascii="宋体" w:hAnsi="宋体" w:eastAsia="宋体" w:cs="宋体"/>
                <w:b/>
                <w:i w:val="0"/>
                <w:iCs w:val="0"/>
                <w:color w:val="auto"/>
                <w:sz w:val="18"/>
                <w:szCs w:val="18"/>
                <w:highlight w:val="none"/>
                <w:u w:val="none"/>
              </w:rPr>
              <w:t>15</w:t>
            </w:r>
          </w:p>
        </w:tc>
        <w:tc>
          <w:tcPr>
            <w:tcW w:w="7146" w:type="dxa"/>
            <w:noWrap w:val="0"/>
            <w:vAlign w:val="center"/>
          </w:tcPr>
          <w:p w14:paraId="17A17DCF">
            <w:pPr>
              <w:keepNext w:val="0"/>
              <w:keepLines w:val="0"/>
              <w:pageBreakBefore w:val="0"/>
              <w:widowControl w:val="0"/>
              <w:kinsoku/>
              <w:wordWrap/>
              <w:overflowPunct/>
              <w:topLinePunct w:val="0"/>
              <w:autoSpaceDE/>
              <w:autoSpaceDN/>
              <w:bidi w:val="0"/>
              <w:adjustRightInd/>
              <w:spacing w:line="240" w:lineRule="exac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拟派</w:t>
            </w:r>
            <w:r>
              <w:rPr>
                <w:rFonts w:hint="eastAsia" w:ascii="宋体" w:hAnsi="宋体" w:eastAsia="宋体" w:cs="宋体"/>
                <w:i w:val="0"/>
                <w:iCs w:val="0"/>
                <w:strike w:val="0"/>
                <w:color w:val="auto"/>
                <w:sz w:val="18"/>
                <w:szCs w:val="18"/>
                <w:highlight w:val="none"/>
                <w:u w:val="none"/>
              </w:rPr>
              <w:t>主</w:t>
            </w:r>
            <w:r>
              <w:rPr>
                <w:rFonts w:hint="eastAsia" w:ascii="宋体" w:hAnsi="宋体" w:eastAsia="宋体" w:cs="宋体"/>
                <w:i w:val="0"/>
                <w:iCs w:val="0"/>
                <w:color w:val="auto"/>
                <w:sz w:val="18"/>
                <w:szCs w:val="18"/>
                <w:highlight w:val="none"/>
                <w:u w:val="none"/>
              </w:rPr>
              <w:t>专业监理工程师1 人，为本公司正式员工，正常缴纳社会保险，专业要求：公路与城市道路工程、桥梁工程、交通工程、交通土建、土木工程（道路与桥梁方向）、公路施工与养护、道路交通管理工程、给水排水工程等相关或相近专业；注：国家注册监理工程师担任</w:t>
            </w:r>
            <w:r>
              <w:rPr>
                <w:rFonts w:hint="eastAsia" w:ascii="宋体" w:hAnsi="宋体" w:eastAsia="宋体" w:cs="宋体"/>
                <w:i w:val="0"/>
                <w:iCs w:val="0"/>
                <w:strike w:val="0"/>
                <w:color w:val="auto"/>
                <w:sz w:val="18"/>
                <w:szCs w:val="18"/>
                <w:highlight w:val="none"/>
                <w:u w:val="none"/>
              </w:rPr>
              <w:t>主</w:t>
            </w:r>
            <w:r>
              <w:rPr>
                <w:rFonts w:hint="eastAsia" w:ascii="宋体" w:hAnsi="宋体" w:eastAsia="宋体" w:cs="宋体"/>
                <w:i w:val="0"/>
                <w:iCs w:val="0"/>
                <w:color w:val="auto"/>
                <w:sz w:val="18"/>
                <w:szCs w:val="18"/>
                <w:highlight w:val="none"/>
                <w:u w:val="none"/>
              </w:rPr>
              <w:t>专业监理工程师的，其注册专业为</w:t>
            </w:r>
            <w:r>
              <w:rPr>
                <w:rFonts w:hint="eastAsia" w:ascii="宋体" w:hAnsi="宋体" w:eastAsia="宋体" w:cs="宋体"/>
                <w:i w:val="0"/>
                <w:iCs w:val="0"/>
                <w:color w:val="auto"/>
                <w:sz w:val="18"/>
                <w:szCs w:val="18"/>
                <w:highlight w:val="none"/>
                <w:u w:val="none"/>
                <w:lang w:val="en-US" w:eastAsia="zh-CN"/>
              </w:rPr>
              <w:t>市政公用</w:t>
            </w:r>
            <w:r>
              <w:rPr>
                <w:rFonts w:hint="eastAsia" w:ascii="宋体" w:hAnsi="宋体" w:eastAsia="宋体" w:cs="宋体"/>
                <w:i w:val="0"/>
                <w:iCs w:val="0"/>
                <w:color w:val="auto"/>
                <w:sz w:val="18"/>
                <w:szCs w:val="18"/>
                <w:highlight w:val="none"/>
                <w:u w:val="none"/>
              </w:rPr>
              <w:t>工程专业即可，无需提供学历专业；专业监理工程师及工程类其他注册执业资格人员担任主专业监理工程师的，专业认定以毕业证书所学专业为准。</w:t>
            </w:r>
            <w:r>
              <w:rPr>
                <w:rFonts w:hint="eastAsia" w:ascii="宋体" w:hAnsi="宋体" w:eastAsia="宋体" w:cs="宋体"/>
                <w:b/>
                <w:bCs/>
                <w:i w:val="0"/>
                <w:iCs w:val="0"/>
                <w:color w:val="auto"/>
                <w:sz w:val="18"/>
                <w:szCs w:val="18"/>
                <w:highlight w:val="none"/>
                <w:u w:val="none"/>
              </w:rPr>
              <w:t>(提供拟派</w:t>
            </w:r>
            <w:r>
              <w:rPr>
                <w:rFonts w:hint="eastAsia" w:ascii="宋体" w:hAnsi="宋体" w:eastAsia="宋体" w:cs="宋体"/>
                <w:b/>
                <w:bCs/>
                <w:i w:val="0"/>
                <w:iCs w:val="0"/>
                <w:strike w:val="0"/>
                <w:color w:val="auto"/>
                <w:sz w:val="18"/>
                <w:szCs w:val="18"/>
                <w:highlight w:val="none"/>
                <w:u w:val="none"/>
              </w:rPr>
              <w:t>主</w:t>
            </w:r>
            <w:r>
              <w:rPr>
                <w:rFonts w:hint="eastAsia" w:ascii="宋体" w:hAnsi="宋体" w:eastAsia="宋体" w:cs="宋体"/>
                <w:b/>
                <w:bCs/>
                <w:i w:val="0"/>
                <w:iCs w:val="0"/>
                <w:color w:val="auto"/>
                <w:sz w:val="18"/>
                <w:szCs w:val="18"/>
                <w:highlight w:val="none"/>
                <w:u w:val="none"/>
              </w:rPr>
              <w:t>专业监理工程师相关证书和供应商为其缴纳的</w:t>
            </w:r>
            <w:r>
              <w:rPr>
                <w:rFonts w:hint="eastAsia" w:ascii="宋体" w:hAnsi="宋体" w:eastAsia="宋体" w:cs="宋体"/>
                <w:b/>
                <w:bCs/>
                <w:i w:val="0"/>
                <w:iCs w:val="0"/>
                <w:color w:val="auto"/>
                <w:sz w:val="18"/>
                <w:szCs w:val="18"/>
                <w:highlight w:val="none"/>
                <w:u w:val="none"/>
                <w:lang w:val="en-US" w:eastAsia="zh-CN"/>
              </w:rPr>
              <w:t>近</w:t>
            </w:r>
            <w:r>
              <w:rPr>
                <w:rFonts w:hint="eastAsia" w:ascii="宋体" w:hAnsi="宋体" w:eastAsia="宋体" w:cs="宋体"/>
                <w:b/>
                <w:bCs/>
                <w:i w:val="0"/>
                <w:iCs w:val="0"/>
                <w:color w:val="auto"/>
                <w:sz w:val="18"/>
                <w:szCs w:val="18"/>
                <w:highlight w:val="none"/>
                <w:u w:val="none"/>
              </w:rPr>
              <w:t>三个月</w:t>
            </w:r>
            <w:r>
              <w:rPr>
                <w:rFonts w:hint="eastAsia" w:ascii="宋体" w:hAnsi="宋体" w:eastAsia="宋体" w:cs="宋体"/>
                <w:b/>
                <w:bCs/>
                <w:i w:val="0"/>
                <w:iCs w:val="0"/>
                <w:color w:val="auto"/>
                <w:sz w:val="18"/>
                <w:szCs w:val="18"/>
                <w:highlight w:val="none"/>
                <w:u w:val="none"/>
                <w:lang w:eastAsia="zh-CN"/>
              </w:rPr>
              <w:t>（</w:t>
            </w:r>
            <w:r>
              <w:rPr>
                <w:rFonts w:hint="eastAsia" w:ascii="宋体" w:hAnsi="宋体" w:eastAsia="宋体" w:cs="宋体"/>
                <w:b/>
                <w:bCs/>
                <w:i w:val="0"/>
                <w:iCs w:val="0"/>
                <w:color w:val="auto"/>
                <w:sz w:val="18"/>
                <w:szCs w:val="18"/>
                <w:highlight w:val="none"/>
                <w:u w:val="none"/>
              </w:rPr>
              <w:t>202</w:t>
            </w:r>
            <w:r>
              <w:rPr>
                <w:rFonts w:hint="eastAsia" w:ascii="宋体" w:hAnsi="宋体" w:eastAsia="宋体" w:cs="宋体"/>
                <w:b/>
                <w:bCs/>
                <w:i w:val="0"/>
                <w:iCs w:val="0"/>
                <w:color w:val="auto"/>
                <w:sz w:val="18"/>
                <w:szCs w:val="18"/>
                <w:highlight w:val="none"/>
                <w:u w:val="none"/>
                <w:lang w:val="en-US" w:eastAsia="zh-CN"/>
              </w:rPr>
              <w:t>6</w:t>
            </w:r>
            <w:r>
              <w:rPr>
                <w:rFonts w:hint="eastAsia" w:ascii="宋体" w:hAnsi="宋体" w:eastAsia="宋体" w:cs="宋体"/>
                <w:b/>
                <w:bCs/>
                <w:i w:val="0"/>
                <w:iCs w:val="0"/>
                <w:color w:val="auto"/>
                <w:sz w:val="18"/>
                <w:szCs w:val="18"/>
                <w:highlight w:val="none"/>
                <w:u w:val="none"/>
              </w:rPr>
              <w:t>年</w:t>
            </w:r>
            <w:r>
              <w:rPr>
                <w:rFonts w:hint="eastAsia" w:ascii="宋体" w:hAnsi="宋体" w:cs="宋体"/>
                <w:b/>
                <w:bCs/>
                <w:i w:val="0"/>
                <w:iCs w:val="0"/>
                <w:color w:val="auto"/>
                <w:sz w:val="18"/>
                <w:szCs w:val="18"/>
                <w:highlight w:val="none"/>
                <w:u w:val="none"/>
                <w:lang w:val="en-US" w:eastAsia="zh-CN"/>
              </w:rPr>
              <w:t>2</w:t>
            </w:r>
            <w:r>
              <w:rPr>
                <w:rFonts w:hint="eastAsia" w:ascii="宋体" w:hAnsi="宋体" w:eastAsia="宋体" w:cs="宋体"/>
                <w:b/>
                <w:bCs/>
                <w:i w:val="0"/>
                <w:iCs w:val="0"/>
                <w:color w:val="auto"/>
                <w:sz w:val="18"/>
                <w:szCs w:val="18"/>
                <w:highlight w:val="none"/>
                <w:u w:val="none"/>
              </w:rPr>
              <w:t>月至202</w:t>
            </w:r>
            <w:r>
              <w:rPr>
                <w:rFonts w:hint="eastAsia" w:ascii="宋体" w:hAnsi="宋体" w:eastAsia="宋体" w:cs="宋体"/>
                <w:b/>
                <w:bCs/>
                <w:i w:val="0"/>
                <w:iCs w:val="0"/>
                <w:color w:val="auto"/>
                <w:sz w:val="18"/>
                <w:szCs w:val="18"/>
                <w:highlight w:val="none"/>
                <w:u w:val="none"/>
                <w:lang w:val="en-US" w:eastAsia="zh-CN"/>
              </w:rPr>
              <w:t>6</w:t>
            </w:r>
            <w:r>
              <w:rPr>
                <w:rFonts w:hint="eastAsia" w:ascii="宋体" w:hAnsi="宋体" w:eastAsia="宋体" w:cs="宋体"/>
                <w:b/>
                <w:bCs/>
                <w:i w:val="0"/>
                <w:iCs w:val="0"/>
                <w:color w:val="auto"/>
                <w:sz w:val="18"/>
                <w:szCs w:val="18"/>
                <w:highlight w:val="none"/>
                <w:u w:val="none"/>
              </w:rPr>
              <w:t>年</w:t>
            </w:r>
            <w:r>
              <w:rPr>
                <w:rFonts w:hint="eastAsia" w:ascii="宋体" w:hAnsi="宋体" w:cs="宋体"/>
                <w:b/>
                <w:bCs/>
                <w:i w:val="0"/>
                <w:iCs w:val="0"/>
                <w:color w:val="auto"/>
                <w:sz w:val="18"/>
                <w:szCs w:val="18"/>
                <w:highlight w:val="none"/>
                <w:u w:val="none"/>
                <w:lang w:val="en-US" w:eastAsia="zh-CN"/>
              </w:rPr>
              <w:t>4</w:t>
            </w:r>
            <w:r>
              <w:rPr>
                <w:rFonts w:hint="eastAsia" w:ascii="宋体" w:hAnsi="宋体" w:eastAsia="宋体" w:cs="宋体"/>
                <w:b/>
                <w:bCs/>
                <w:i w:val="0"/>
                <w:iCs w:val="0"/>
                <w:color w:val="auto"/>
                <w:sz w:val="18"/>
                <w:szCs w:val="18"/>
                <w:highlight w:val="none"/>
                <w:u w:val="none"/>
              </w:rPr>
              <w:t>月</w:t>
            </w:r>
            <w:r>
              <w:rPr>
                <w:rFonts w:hint="eastAsia" w:ascii="宋体" w:hAnsi="宋体" w:eastAsia="宋体" w:cs="宋体"/>
                <w:b/>
                <w:bCs/>
                <w:i w:val="0"/>
                <w:iCs w:val="0"/>
                <w:color w:val="auto"/>
                <w:sz w:val="18"/>
                <w:szCs w:val="18"/>
                <w:highlight w:val="none"/>
                <w:u w:val="none"/>
                <w:lang w:eastAsia="zh-CN"/>
              </w:rPr>
              <w:t>）</w:t>
            </w:r>
            <w:r>
              <w:rPr>
                <w:rFonts w:hint="eastAsia" w:ascii="宋体" w:hAnsi="宋体" w:eastAsia="宋体" w:cs="宋体"/>
                <w:b/>
                <w:bCs/>
                <w:i w:val="0"/>
                <w:iCs w:val="0"/>
                <w:color w:val="auto"/>
                <w:sz w:val="18"/>
                <w:szCs w:val="18"/>
                <w:highlight w:val="none"/>
                <w:u w:val="none"/>
              </w:rPr>
              <w:t>内任意一个月的社保证明</w:t>
            </w:r>
            <w:r>
              <w:rPr>
                <w:rFonts w:hint="eastAsia" w:ascii="宋体" w:hAnsi="宋体" w:eastAsia="宋体" w:cs="宋体"/>
                <w:b/>
                <w:bCs/>
                <w:i w:val="0"/>
                <w:iCs w:val="0"/>
                <w:color w:val="auto"/>
                <w:sz w:val="18"/>
                <w:szCs w:val="18"/>
                <w:highlight w:val="none"/>
                <w:u w:val="none"/>
                <w:lang w:eastAsia="zh-CN"/>
              </w:rPr>
              <w:t>（</w:t>
            </w:r>
            <w:r>
              <w:rPr>
                <w:rFonts w:hint="eastAsia" w:ascii="宋体" w:hAnsi="宋体" w:eastAsia="宋体" w:cs="宋体"/>
                <w:b/>
                <w:bCs/>
                <w:i w:val="0"/>
                <w:iCs w:val="0"/>
                <w:color w:val="auto"/>
                <w:sz w:val="18"/>
                <w:szCs w:val="18"/>
                <w:highlight w:val="none"/>
                <w:u w:val="none"/>
              </w:rPr>
              <w:t>复印件加盖供应商公章)</w:t>
            </w:r>
          </w:p>
        </w:tc>
        <w:tc>
          <w:tcPr>
            <w:tcW w:w="1391" w:type="dxa"/>
            <w:noWrap w:val="0"/>
            <w:vAlign w:val="center"/>
          </w:tcPr>
          <w:p w14:paraId="2450F59A">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eastAsia="宋体" w:cs="宋体"/>
                <w:b/>
                <w:i w:val="0"/>
                <w:iCs w:val="0"/>
                <w:color w:val="auto"/>
                <w:sz w:val="18"/>
                <w:szCs w:val="18"/>
                <w:highlight w:val="none"/>
                <w:u w:val="none"/>
              </w:rPr>
            </w:pPr>
          </w:p>
        </w:tc>
        <w:tc>
          <w:tcPr>
            <w:tcW w:w="1107" w:type="dxa"/>
            <w:noWrap w:val="0"/>
            <w:vAlign w:val="center"/>
          </w:tcPr>
          <w:p w14:paraId="4BBA0319">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eastAsia="宋体" w:cs="宋体"/>
                <w:b/>
                <w:i w:val="0"/>
                <w:iCs w:val="0"/>
                <w:color w:val="auto"/>
                <w:sz w:val="18"/>
                <w:szCs w:val="18"/>
                <w:highlight w:val="none"/>
                <w:u w:val="none"/>
              </w:rPr>
            </w:pPr>
          </w:p>
        </w:tc>
      </w:tr>
      <w:tr w14:paraId="1B3B5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exact"/>
          <w:jc w:val="center"/>
        </w:trPr>
        <w:tc>
          <w:tcPr>
            <w:tcW w:w="546" w:type="dxa"/>
            <w:noWrap w:val="0"/>
            <w:vAlign w:val="center"/>
          </w:tcPr>
          <w:p w14:paraId="644F2B87">
            <w:pPr>
              <w:keepNext w:val="0"/>
              <w:keepLines w:val="0"/>
              <w:pageBreakBefore w:val="0"/>
              <w:widowControl w:val="0"/>
              <w:kinsoku/>
              <w:wordWrap/>
              <w:overflowPunct/>
              <w:topLinePunct w:val="0"/>
              <w:autoSpaceDE/>
              <w:autoSpaceDN/>
              <w:bidi w:val="0"/>
              <w:spacing w:line="240" w:lineRule="exact"/>
              <w:jc w:val="center"/>
              <w:textAlignment w:val="auto"/>
              <w:rPr>
                <w:rFonts w:hint="eastAsia" w:ascii="宋体" w:hAnsi="宋体" w:eastAsia="宋体" w:cs="宋体"/>
                <w:b/>
                <w:i w:val="0"/>
                <w:iCs w:val="0"/>
                <w:color w:val="auto"/>
                <w:sz w:val="18"/>
                <w:szCs w:val="18"/>
                <w:highlight w:val="none"/>
                <w:u w:val="none"/>
              </w:rPr>
            </w:pPr>
            <w:r>
              <w:rPr>
                <w:rFonts w:hint="eastAsia" w:ascii="宋体" w:hAnsi="宋体" w:eastAsia="宋体" w:cs="宋体"/>
                <w:b/>
                <w:i w:val="0"/>
                <w:iCs w:val="0"/>
                <w:color w:val="auto"/>
                <w:sz w:val="18"/>
                <w:szCs w:val="18"/>
                <w:highlight w:val="none"/>
                <w:u w:val="none"/>
              </w:rPr>
              <w:t>16</w:t>
            </w:r>
          </w:p>
        </w:tc>
        <w:tc>
          <w:tcPr>
            <w:tcW w:w="7146" w:type="dxa"/>
            <w:noWrap w:val="0"/>
            <w:vAlign w:val="center"/>
          </w:tcPr>
          <w:p w14:paraId="4BED4FD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供应商为本项目授权委托人缴纳的近三个月（</w:t>
            </w:r>
            <w:r>
              <w:rPr>
                <w:rFonts w:hint="eastAsia" w:ascii="宋体" w:hAnsi="宋体" w:eastAsia="宋体" w:cs="宋体"/>
                <w:b/>
                <w:i w:val="0"/>
                <w:iCs w:val="0"/>
                <w:color w:val="auto"/>
                <w:sz w:val="18"/>
                <w:szCs w:val="18"/>
                <w:highlight w:val="none"/>
                <w:u w:val="none"/>
                <w:lang w:eastAsia="zh-CN"/>
              </w:rPr>
              <w:t>2026年</w:t>
            </w:r>
            <w:r>
              <w:rPr>
                <w:rFonts w:hint="eastAsia" w:ascii="宋体" w:hAnsi="宋体" w:cs="宋体"/>
                <w:b/>
                <w:i w:val="0"/>
                <w:iCs w:val="0"/>
                <w:color w:val="auto"/>
                <w:sz w:val="18"/>
                <w:szCs w:val="18"/>
                <w:highlight w:val="none"/>
                <w:u w:val="none"/>
                <w:lang w:val="en-US" w:eastAsia="zh-CN"/>
              </w:rPr>
              <w:t>2</w:t>
            </w:r>
            <w:r>
              <w:rPr>
                <w:rFonts w:hint="eastAsia" w:ascii="宋体" w:hAnsi="宋体" w:eastAsia="宋体" w:cs="宋体"/>
                <w:b/>
                <w:i w:val="0"/>
                <w:iCs w:val="0"/>
                <w:color w:val="auto"/>
                <w:sz w:val="18"/>
                <w:szCs w:val="18"/>
                <w:highlight w:val="none"/>
                <w:u w:val="none"/>
                <w:lang w:eastAsia="zh-CN"/>
              </w:rPr>
              <w:t>月-2026年</w:t>
            </w:r>
            <w:r>
              <w:rPr>
                <w:rFonts w:hint="eastAsia" w:ascii="宋体" w:hAnsi="宋体" w:cs="宋体"/>
                <w:b/>
                <w:i w:val="0"/>
                <w:iCs w:val="0"/>
                <w:color w:val="auto"/>
                <w:sz w:val="18"/>
                <w:szCs w:val="18"/>
                <w:highlight w:val="none"/>
                <w:u w:val="none"/>
                <w:lang w:val="en-US" w:eastAsia="zh-CN"/>
              </w:rPr>
              <w:t>4</w:t>
            </w:r>
            <w:r>
              <w:rPr>
                <w:rFonts w:hint="eastAsia" w:ascii="宋体" w:hAnsi="宋体" w:eastAsia="宋体" w:cs="宋体"/>
                <w:b/>
                <w:i w:val="0"/>
                <w:iCs w:val="0"/>
                <w:color w:val="auto"/>
                <w:sz w:val="18"/>
                <w:szCs w:val="18"/>
                <w:highlight w:val="none"/>
                <w:u w:val="none"/>
                <w:lang w:eastAsia="zh-CN"/>
              </w:rPr>
              <w:t>月</w:t>
            </w:r>
            <w:r>
              <w:rPr>
                <w:rFonts w:hint="eastAsia" w:ascii="宋体" w:hAnsi="宋体" w:eastAsia="宋体" w:cs="宋体"/>
                <w:i w:val="0"/>
                <w:iCs w:val="0"/>
                <w:color w:val="auto"/>
                <w:sz w:val="18"/>
                <w:szCs w:val="18"/>
                <w:highlight w:val="none"/>
                <w:u w:val="none"/>
              </w:rPr>
              <w:t>）内任意一个月的社保证明(</w:t>
            </w:r>
            <w:r>
              <w:rPr>
                <w:rFonts w:hint="eastAsia" w:ascii="宋体" w:hAnsi="宋体" w:eastAsia="宋体" w:cs="宋体"/>
                <w:b/>
                <w:bCs/>
                <w:i w:val="0"/>
                <w:iCs w:val="0"/>
                <w:color w:val="auto"/>
                <w:sz w:val="18"/>
                <w:szCs w:val="18"/>
                <w:highlight w:val="none"/>
                <w:u w:val="none"/>
              </w:rPr>
              <w:t>复印件加盖供应商公章)</w:t>
            </w:r>
          </w:p>
          <w:p w14:paraId="73AABF19">
            <w:pPr>
              <w:keepNext w:val="0"/>
              <w:keepLines w:val="0"/>
              <w:pageBreakBefore w:val="0"/>
              <w:widowControl w:val="0"/>
              <w:kinsoku/>
              <w:wordWrap/>
              <w:overflowPunct/>
              <w:topLinePunct w:val="0"/>
              <w:autoSpaceDE/>
              <w:autoSpaceDN/>
              <w:bidi w:val="0"/>
              <w:adjustRightInd/>
              <w:snapToGrid/>
              <w:spacing w:line="240" w:lineRule="exact"/>
              <w:textAlignment w:val="auto"/>
              <w:outlineLvl w:val="0"/>
              <w:rPr>
                <w:rFonts w:hint="eastAsia" w:ascii="宋体" w:hAnsi="宋体" w:eastAsia="宋体" w:cs="宋体"/>
                <w:i w:val="0"/>
                <w:iCs w:val="0"/>
                <w:color w:val="auto"/>
                <w:sz w:val="18"/>
                <w:szCs w:val="18"/>
                <w:highlight w:val="none"/>
                <w:u w:val="none"/>
              </w:rPr>
            </w:pPr>
          </w:p>
        </w:tc>
        <w:tc>
          <w:tcPr>
            <w:tcW w:w="1391" w:type="dxa"/>
            <w:noWrap w:val="0"/>
            <w:vAlign w:val="center"/>
          </w:tcPr>
          <w:p w14:paraId="73AB4A7E">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eastAsia="宋体" w:cs="宋体"/>
                <w:b/>
                <w:i w:val="0"/>
                <w:iCs w:val="0"/>
                <w:color w:val="auto"/>
                <w:sz w:val="18"/>
                <w:szCs w:val="18"/>
                <w:highlight w:val="none"/>
                <w:u w:val="none"/>
              </w:rPr>
            </w:pPr>
          </w:p>
        </w:tc>
        <w:tc>
          <w:tcPr>
            <w:tcW w:w="1107" w:type="dxa"/>
            <w:noWrap w:val="0"/>
            <w:vAlign w:val="center"/>
          </w:tcPr>
          <w:p w14:paraId="5E0B8109">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eastAsia="宋体" w:cs="宋体"/>
                <w:b/>
                <w:i w:val="0"/>
                <w:iCs w:val="0"/>
                <w:color w:val="auto"/>
                <w:sz w:val="18"/>
                <w:szCs w:val="18"/>
                <w:highlight w:val="none"/>
                <w:u w:val="none"/>
              </w:rPr>
            </w:pPr>
          </w:p>
        </w:tc>
      </w:tr>
      <w:tr w14:paraId="61D9A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exact"/>
          <w:jc w:val="center"/>
        </w:trPr>
        <w:tc>
          <w:tcPr>
            <w:tcW w:w="10190" w:type="dxa"/>
            <w:gridSpan w:val="4"/>
            <w:noWrap w:val="0"/>
            <w:vAlign w:val="center"/>
          </w:tcPr>
          <w:p w14:paraId="1F4CB9EB">
            <w:pPr>
              <w:keepNext w:val="0"/>
              <w:keepLines w:val="0"/>
              <w:pageBreakBefore w:val="0"/>
              <w:widowControl w:val="0"/>
              <w:kinsoku/>
              <w:wordWrap/>
              <w:overflowPunct/>
              <w:topLinePunct w:val="0"/>
              <w:autoSpaceDE/>
              <w:autoSpaceDN/>
              <w:bidi w:val="0"/>
              <w:spacing w:line="240" w:lineRule="exact"/>
              <w:jc w:val="left"/>
              <w:textAlignment w:val="auto"/>
              <w:rPr>
                <w:rFonts w:hint="eastAsia" w:ascii="宋体" w:hAnsi="宋体" w:eastAsia="宋体" w:cs="宋体"/>
                <w:b/>
                <w:i w:val="0"/>
                <w:iCs w:val="0"/>
                <w:color w:val="auto"/>
                <w:sz w:val="18"/>
                <w:szCs w:val="18"/>
                <w:highlight w:val="none"/>
                <w:u w:val="none"/>
              </w:rPr>
            </w:pPr>
            <w:r>
              <w:rPr>
                <w:rFonts w:hint="eastAsia" w:ascii="宋体" w:hAnsi="宋体" w:eastAsia="宋体" w:cs="宋体"/>
                <w:b/>
                <w:i w:val="0"/>
                <w:iCs w:val="0"/>
                <w:color w:val="auto"/>
                <w:sz w:val="18"/>
                <w:szCs w:val="18"/>
                <w:highlight w:val="none"/>
                <w:u w:val="none"/>
              </w:rPr>
              <w:t>其他条件</w:t>
            </w:r>
          </w:p>
        </w:tc>
      </w:tr>
      <w:tr w14:paraId="5A21D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jc w:val="center"/>
        </w:trPr>
        <w:tc>
          <w:tcPr>
            <w:tcW w:w="546" w:type="dxa"/>
            <w:noWrap w:val="0"/>
            <w:vAlign w:val="center"/>
          </w:tcPr>
          <w:p w14:paraId="5670EF3F">
            <w:pPr>
              <w:keepNext w:val="0"/>
              <w:keepLines w:val="0"/>
              <w:pageBreakBefore w:val="0"/>
              <w:widowControl w:val="0"/>
              <w:kinsoku/>
              <w:wordWrap/>
              <w:overflowPunct/>
              <w:topLinePunct w:val="0"/>
              <w:autoSpaceDE/>
              <w:autoSpaceDN/>
              <w:bidi w:val="0"/>
              <w:spacing w:line="240" w:lineRule="exact"/>
              <w:jc w:val="center"/>
              <w:textAlignment w:val="auto"/>
              <w:rPr>
                <w:rFonts w:hint="eastAsia" w:ascii="宋体" w:hAnsi="宋体" w:eastAsia="宋体" w:cs="宋体"/>
                <w:b/>
                <w:i w:val="0"/>
                <w:iCs w:val="0"/>
                <w:color w:val="auto"/>
                <w:sz w:val="18"/>
                <w:szCs w:val="18"/>
                <w:highlight w:val="none"/>
                <w:u w:val="none"/>
              </w:rPr>
            </w:pPr>
            <w:r>
              <w:rPr>
                <w:rFonts w:hint="eastAsia" w:ascii="宋体" w:hAnsi="宋体" w:eastAsia="宋体" w:cs="宋体"/>
                <w:b/>
                <w:i w:val="0"/>
                <w:iCs w:val="0"/>
                <w:color w:val="auto"/>
                <w:sz w:val="18"/>
                <w:szCs w:val="18"/>
                <w:highlight w:val="none"/>
                <w:u w:val="none"/>
              </w:rPr>
              <w:t>17</w:t>
            </w:r>
          </w:p>
        </w:tc>
        <w:tc>
          <w:tcPr>
            <w:tcW w:w="7146" w:type="dxa"/>
            <w:noWrap w:val="0"/>
            <w:vAlign w:val="center"/>
          </w:tcPr>
          <w:p w14:paraId="272FC9EE">
            <w:pPr>
              <w:keepNext w:val="0"/>
              <w:keepLines w:val="0"/>
              <w:pageBreakBefore w:val="0"/>
              <w:widowControl w:val="0"/>
              <w:kinsoku/>
              <w:wordWrap/>
              <w:overflowPunct/>
              <w:topLinePunct w:val="0"/>
              <w:autoSpaceDE/>
              <w:autoSpaceDN/>
              <w:bidi w:val="0"/>
              <w:adjustRightInd/>
              <w:snapToGrid w:val="0"/>
              <w:spacing w:line="240" w:lineRule="exact"/>
              <w:textAlignment w:val="auto"/>
              <w:rPr>
                <w:rFonts w:hint="eastAsia" w:ascii="宋体" w:hAnsi="宋体" w:eastAsia="宋体" w:cs="宋体"/>
                <w:b/>
                <w:i w:val="0"/>
                <w:iCs w:val="0"/>
                <w:color w:val="auto"/>
                <w:sz w:val="18"/>
                <w:szCs w:val="18"/>
                <w:highlight w:val="none"/>
                <w:u w:val="none"/>
              </w:rPr>
            </w:pPr>
            <w:r>
              <w:rPr>
                <w:rFonts w:hint="eastAsia" w:ascii="宋体" w:hAnsi="宋体" w:eastAsia="宋体" w:cs="宋体"/>
                <w:b/>
                <w:i w:val="0"/>
                <w:iCs w:val="0"/>
                <w:color w:val="auto"/>
                <w:sz w:val="18"/>
                <w:szCs w:val="18"/>
                <w:highlight w:val="none"/>
                <w:u w:val="none"/>
              </w:rPr>
              <w:t>磋商文件中的其他实质性要求</w:t>
            </w:r>
          </w:p>
        </w:tc>
        <w:tc>
          <w:tcPr>
            <w:tcW w:w="1391" w:type="dxa"/>
            <w:noWrap w:val="0"/>
            <w:vAlign w:val="center"/>
          </w:tcPr>
          <w:p w14:paraId="348FF140">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eastAsia="宋体" w:cs="宋体"/>
                <w:b/>
                <w:i w:val="0"/>
                <w:iCs w:val="0"/>
                <w:color w:val="auto"/>
                <w:sz w:val="18"/>
                <w:szCs w:val="18"/>
                <w:highlight w:val="none"/>
                <w:u w:val="none"/>
              </w:rPr>
            </w:pPr>
          </w:p>
        </w:tc>
        <w:tc>
          <w:tcPr>
            <w:tcW w:w="1107" w:type="dxa"/>
            <w:noWrap w:val="0"/>
            <w:vAlign w:val="center"/>
          </w:tcPr>
          <w:p w14:paraId="6E58DED4">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eastAsia="宋体" w:cs="宋体"/>
                <w:b/>
                <w:i w:val="0"/>
                <w:iCs w:val="0"/>
                <w:color w:val="auto"/>
                <w:sz w:val="18"/>
                <w:szCs w:val="18"/>
                <w:highlight w:val="none"/>
                <w:u w:val="none"/>
              </w:rPr>
            </w:pPr>
          </w:p>
        </w:tc>
      </w:tr>
    </w:tbl>
    <w:p w14:paraId="580B0B63">
      <w:pPr>
        <w:pStyle w:val="2"/>
        <w:rPr>
          <w:rFonts w:hint="eastAsia" w:ascii="宋体" w:hAnsi="宋体" w:eastAsia="宋体" w:cs="宋体"/>
          <w:color w:val="auto"/>
          <w:szCs w:val="21"/>
          <w:highlight w:val="none"/>
        </w:rPr>
      </w:pPr>
    </w:p>
    <w:p w14:paraId="23CF636F">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二、资信证明文件</w:t>
      </w:r>
    </w:p>
    <w:p w14:paraId="4586479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1、满足以下规定，并提供下列材料：</w:t>
      </w:r>
    </w:p>
    <w:p w14:paraId="7842CFA0">
      <w:pPr>
        <w:keepNext w:val="0"/>
        <w:keepLines w:val="0"/>
        <w:pageBreakBefore w:val="0"/>
        <w:kinsoku/>
        <w:wordWrap/>
        <w:overflowPunct/>
        <w:topLinePunct w:val="0"/>
        <w:autoSpaceDE/>
        <w:autoSpaceDN/>
        <w:bidi w:val="0"/>
        <w:spacing w:line="360" w:lineRule="auto"/>
        <w:ind w:firstLine="420" w:firstLineChars="200"/>
        <w:textAlignment w:val="auto"/>
        <w:outlineLvl w:val="0"/>
        <w:rPr>
          <w:rFonts w:hint="eastAsia" w:ascii="宋体" w:hAnsi="宋体" w:eastAsia="宋体" w:cs="宋体"/>
          <w:i/>
          <w:color w:val="auto"/>
          <w:sz w:val="21"/>
          <w:szCs w:val="21"/>
          <w:highlight w:val="none"/>
          <w:u w:val="single"/>
        </w:rPr>
      </w:pPr>
      <w:r>
        <w:rPr>
          <w:rFonts w:hint="eastAsia" w:ascii="宋体" w:hAnsi="宋体" w:eastAsia="宋体" w:cs="宋体"/>
          <w:i/>
          <w:color w:val="auto"/>
          <w:sz w:val="21"/>
          <w:szCs w:val="21"/>
          <w:highlight w:val="none"/>
          <w:u w:val="single"/>
        </w:rPr>
        <w:t>1.1磋商响应函</w:t>
      </w:r>
      <w:r>
        <w:rPr>
          <w:rFonts w:hint="eastAsia" w:ascii="宋体" w:hAnsi="宋体" w:eastAsia="宋体" w:cs="宋体"/>
          <w:b/>
          <w:i/>
          <w:color w:val="auto"/>
          <w:sz w:val="21"/>
          <w:szCs w:val="21"/>
          <w:highlight w:val="none"/>
          <w:u w:val="single"/>
        </w:rPr>
        <w:t>(原件)</w:t>
      </w:r>
    </w:p>
    <w:p w14:paraId="427AB690">
      <w:pPr>
        <w:keepNext w:val="0"/>
        <w:keepLines w:val="0"/>
        <w:pageBreakBefore w:val="0"/>
        <w:kinsoku/>
        <w:wordWrap/>
        <w:overflowPunct/>
        <w:topLinePunct w:val="0"/>
        <w:autoSpaceDE/>
        <w:autoSpaceDN/>
        <w:bidi w:val="0"/>
        <w:spacing w:line="360" w:lineRule="auto"/>
        <w:ind w:firstLine="420" w:firstLineChars="200"/>
        <w:textAlignment w:val="auto"/>
        <w:outlineLvl w:val="0"/>
        <w:rPr>
          <w:rFonts w:hint="eastAsia" w:ascii="宋体" w:hAnsi="宋体" w:eastAsia="宋体" w:cs="宋体"/>
          <w:i/>
          <w:color w:val="auto"/>
          <w:sz w:val="21"/>
          <w:szCs w:val="21"/>
          <w:highlight w:val="none"/>
          <w:u w:val="single"/>
        </w:rPr>
      </w:pPr>
      <w:r>
        <w:rPr>
          <w:rFonts w:hint="eastAsia" w:ascii="宋体" w:hAnsi="宋体" w:eastAsia="宋体" w:cs="宋体"/>
          <w:i/>
          <w:color w:val="auto"/>
          <w:sz w:val="21"/>
          <w:szCs w:val="21"/>
          <w:highlight w:val="none"/>
          <w:u w:val="single"/>
        </w:rPr>
        <w:t>1.2资格声明</w:t>
      </w:r>
      <w:r>
        <w:rPr>
          <w:rFonts w:hint="eastAsia" w:ascii="宋体" w:hAnsi="宋体" w:eastAsia="宋体" w:cs="宋体"/>
          <w:b/>
          <w:i/>
          <w:color w:val="auto"/>
          <w:sz w:val="21"/>
          <w:szCs w:val="21"/>
          <w:highlight w:val="none"/>
          <w:u w:val="single"/>
        </w:rPr>
        <w:t>(原件)</w:t>
      </w:r>
    </w:p>
    <w:p w14:paraId="2FB613C2">
      <w:pPr>
        <w:keepNext w:val="0"/>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b/>
          <w:bCs/>
          <w:i/>
          <w:color w:val="auto"/>
          <w:sz w:val="21"/>
          <w:szCs w:val="21"/>
          <w:highlight w:val="none"/>
          <w:u w:val="single"/>
        </w:rPr>
      </w:pPr>
      <w:r>
        <w:rPr>
          <w:rFonts w:hint="eastAsia" w:ascii="宋体" w:hAnsi="宋体" w:eastAsia="宋体" w:cs="宋体"/>
          <w:i/>
          <w:color w:val="auto"/>
          <w:sz w:val="21"/>
          <w:szCs w:val="21"/>
          <w:highlight w:val="none"/>
          <w:u w:val="single"/>
        </w:rPr>
        <w:t>1.3若法定代表人参加磋商的，须提供本人身份证</w:t>
      </w:r>
      <w:r>
        <w:rPr>
          <w:rFonts w:hint="eastAsia" w:ascii="宋体" w:hAnsi="宋体" w:eastAsia="宋体" w:cs="宋体"/>
          <w:b/>
          <w:bCs/>
          <w:i/>
          <w:color w:val="auto"/>
          <w:sz w:val="21"/>
          <w:szCs w:val="21"/>
          <w:highlight w:val="none"/>
          <w:u w:val="single"/>
        </w:rPr>
        <w:t>（复印件</w:t>
      </w:r>
      <w:r>
        <w:rPr>
          <w:rFonts w:hint="eastAsia" w:ascii="宋体" w:hAnsi="宋体" w:eastAsia="宋体" w:cs="宋体"/>
          <w:b/>
          <w:bCs/>
          <w:i/>
          <w:iCs/>
          <w:color w:val="auto"/>
          <w:sz w:val="21"/>
          <w:szCs w:val="21"/>
          <w:highlight w:val="none"/>
          <w:u w:val="single"/>
        </w:rPr>
        <w:t>加盖供应商公章，</w:t>
      </w:r>
      <w:r>
        <w:rPr>
          <w:rFonts w:hint="eastAsia" w:ascii="宋体" w:hAnsi="宋体" w:eastAsia="宋体" w:cs="宋体"/>
          <w:b/>
          <w:bCs/>
          <w:i/>
          <w:color w:val="auto"/>
          <w:sz w:val="21"/>
          <w:szCs w:val="21"/>
          <w:highlight w:val="none"/>
          <w:u w:val="single"/>
        </w:rPr>
        <w:t>原件备查)</w:t>
      </w:r>
      <w:r>
        <w:rPr>
          <w:rFonts w:hint="eastAsia" w:ascii="宋体" w:hAnsi="宋体" w:eastAsia="宋体" w:cs="宋体"/>
          <w:i/>
          <w:color w:val="auto"/>
          <w:sz w:val="21"/>
          <w:szCs w:val="21"/>
          <w:highlight w:val="none"/>
          <w:u w:val="single"/>
        </w:rPr>
        <w:t>；若授权代表参加的，须提供《法人授权书》</w:t>
      </w:r>
      <w:r>
        <w:rPr>
          <w:rFonts w:hint="eastAsia" w:ascii="宋体" w:hAnsi="宋体" w:eastAsia="宋体" w:cs="宋体"/>
          <w:b/>
          <w:i/>
          <w:color w:val="auto"/>
          <w:sz w:val="21"/>
          <w:szCs w:val="21"/>
          <w:highlight w:val="none"/>
          <w:u w:val="single"/>
        </w:rPr>
        <w:t>原件</w:t>
      </w:r>
      <w:r>
        <w:rPr>
          <w:rFonts w:hint="eastAsia" w:ascii="宋体" w:hAnsi="宋体" w:eastAsia="宋体" w:cs="宋体"/>
          <w:i/>
          <w:color w:val="auto"/>
          <w:sz w:val="21"/>
          <w:szCs w:val="21"/>
          <w:highlight w:val="none"/>
          <w:u w:val="single"/>
        </w:rPr>
        <w:t>、被授权人身份证</w:t>
      </w:r>
      <w:r>
        <w:rPr>
          <w:rFonts w:hint="eastAsia" w:ascii="宋体" w:hAnsi="宋体" w:eastAsia="宋体" w:cs="宋体"/>
          <w:b/>
          <w:bCs/>
          <w:i/>
          <w:color w:val="auto"/>
          <w:sz w:val="21"/>
          <w:szCs w:val="21"/>
          <w:highlight w:val="none"/>
          <w:u w:val="single"/>
        </w:rPr>
        <w:t>（复印件</w:t>
      </w:r>
      <w:r>
        <w:rPr>
          <w:rFonts w:hint="eastAsia" w:ascii="宋体" w:hAnsi="宋体" w:eastAsia="宋体" w:cs="宋体"/>
          <w:b/>
          <w:bCs/>
          <w:i/>
          <w:iCs/>
          <w:color w:val="auto"/>
          <w:sz w:val="21"/>
          <w:szCs w:val="21"/>
          <w:highlight w:val="none"/>
          <w:u w:val="single"/>
        </w:rPr>
        <w:t>加盖供应商公章，</w:t>
      </w:r>
      <w:r>
        <w:rPr>
          <w:rFonts w:hint="eastAsia" w:ascii="宋体" w:hAnsi="宋体" w:eastAsia="宋体" w:cs="宋体"/>
          <w:b/>
          <w:bCs/>
          <w:i/>
          <w:color w:val="auto"/>
          <w:sz w:val="21"/>
          <w:szCs w:val="21"/>
          <w:highlight w:val="none"/>
          <w:u w:val="single"/>
        </w:rPr>
        <w:t>原件备查）</w:t>
      </w:r>
    </w:p>
    <w:p w14:paraId="0AF26E69">
      <w:pPr>
        <w:keepNext w:val="0"/>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i/>
          <w:color w:val="auto"/>
          <w:sz w:val="21"/>
          <w:szCs w:val="21"/>
          <w:highlight w:val="none"/>
          <w:u w:val="single"/>
        </w:rPr>
      </w:pPr>
      <w:r>
        <w:rPr>
          <w:rFonts w:hint="eastAsia" w:ascii="宋体" w:hAnsi="宋体" w:eastAsia="宋体" w:cs="宋体"/>
          <w:i/>
          <w:color w:val="auto"/>
          <w:sz w:val="21"/>
          <w:szCs w:val="21"/>
          <w:highlight w:val="none"/>
          <w:u w:val="single"/>
        </w:rPr>
        <w:t>1.4营业执照副本</w:t>
      </w:r>
      <w:r>
        <w:rPr>
          <w:rFonts w:hint="eastAsia" w:ascii="宋体" w:hAnsi="宋体" w:eastAsia="宋体" w:cs="宋体"/>
          <w:b/>
          <w:i/>
          <w:color w:val="auto"/>
          <w:sz w:val="21"/>
          <w:szCs w:val="21"/>
          <w:highlight w:val="none"/>
          <w:u w:val="single"/>
        </w:rPr>
        <w:t>(复印件加盖供应商公章)</w:t>
      </w:r>
    </w:p>
    <w:p w14:paraId="56491C00">
      <w:pPr>
        <w:keepNext w:val="0"/>
        <w:keepLines w:val="0"/>
        <w:pageBreakBefore w:val="0"/>
        <w:kinsoku/>
        <w:wordWrap/>
        <w:overflowPunct/>
        <w:topLinePunct w:val="0"/>
        <w:autoSpaceDE/>
        <w:autoSpaceDN/>
        <w:bidi w:val="0"/>
        <w:spacing w:line="360" w:lineRule="auto"/>
        <w:ind w:left="0" w:right="0" w:firstLine="404" w:firstLineChars="200"/>
        <w:textAlignment w:val="auto"/>
        <w:rPr>
          <w:rFonts w:hint="eastAsia" w:ascii="宋体" w:hAnsi="宋体" w:eastAsia="宋体" w:cs="宋体"/>
          <w:i/>
          <w:color w:val="auto"/>
          <w:spacing w:val="-4"/>
          <w:sz w:val="21"/>
          <w:szCs w:val="21"/>
          <w:highlight w:val="none"/>
          <w:u w:val="single"/>
        </w:rPr>
      </w:pPr>
      <w:r>
        <w:rPr>
          <w:rFonts w:hint="eastAsia" w:ascii="宋体" w:hAnsi="宋体" w:eastAsia="宋体" w:cs="宋体"/>
          <w:i/>
          <w:color w:val="auto"/>
          <w:spacing w:val="-4"/>
          <w:sz w:val="21"/>
          <w:szCs w:val="21"/>
          <w:highlight w:val="none"/>
          <w:u w:val="single"/>
        </w:rPr>
        <w:t>1.5依法缴纳职工社会保障资金的证明材料</w:t>
      </w:r>
      <w:r>
        <w:rPr>
          <w:rFonts w:hint="eastAsia" w:ascii="宋体" w:hAnsi="宋体" w:eastAsia="宋体" w:cs="宋体"/>
          <w:b/>
          <w:i/>
          <w:color w:val="auto"/>
          <w:spacing w:val="-4"/>
          <w:sz w:val="21"/>
          <w:szCs w:val="21"/>
          <w:highlight w:val="none"/>
          <w:u w:val="single"/>
        </w:rPr>
        <w:t>(复印件加盖供应商公章)(税务、银行或社会保险基金管理部门出具的近三个月（</w:t>
      </w:r>
      <w:r>
        <w:rPr>
          <w:rFonts w:hint="eastAsia" w:ascii="宋体" w:hAnsi="宋体" w:eastAsia="宋体" w:cs="宋体"/>
          <w:b/>
          <w:i/>
          <w:color w:val="auto"/>
          <w:spacing w:val="-4"/>
          <w:sz w:val="21"/>
          <w:szCs w:val="21"/>
          <w:highlight w:val="none"/>
          <w:u w:val="single"/>
          <w:lang w:eastAsia="zh-CN"/>
        </w:rPr>
        <w:t>2026年</w:t>
      </w:r>
      <w:r>
        <w:rPr>
          <w:rFonts w:hint="eastAsia" w:ascii="宋体" w:hAnsi="宋体" w:cs="宋体"/>
          <w:b/>
          <w:i/>
          <w:color w:val="auto"/>
          <w:spacing w:val="-4"/>
          <w:sz w:val="21"/>
          <w:szCs w:val="21"/>
          <w:highlight w:val="none"/>
          <w:u w:val="single"/>
          <w:lang w:val="en-US" w:eastAsia="zh-CN"/>
        </w:rPr>
        <w:t>2</w:t>
      </w:r>
      <w:r>
        <w:rPr>
          <w:rFonts w:hint="eastAsia" w:ascii="宋体" w:hAnsi="宋体" w:eastAsia="宋体" w:cs="宋体"/>
          <w:b/>
          <w:i/>
          <w:color w:val="auto"/>
          <w:spacing w:val="-4"/>
          <w:sz w:val="21"/>
          <w:szCs w:val="21"/>
          <w:highlight w:val="none"/>
          <w:u w:val="single"/>
          <w:lang w:eastAsia="zh-CN"/>
        </w:rPr>
        <w:t>月-2026年</w:t>
      </w:r>
      <w:r>
        <w:rPr>
          <w:rFonts w:hint="eastAsia" w:ascii="宋体" w:hAnsi="宋体" w:cs="宋体"/>
          <w:b/>
          <w:i/>
          <w:color w:val="auto"/>
          <w:spacing w:val="-4"/>
          <w:sz w:val="21"/>
          <w:szCs w:val="21"/>
          <w:highlight w:val="none"/>
          <w:u w:val="single"/>
          <w:lang w:val="en-US" w:eastAsia="zh-CN"/>
        </w:rPr>
        <w:t>4</w:t>
      </w:r>
      <w:r>
        <w:rPr>
          <w:rFonts w:hint="eastAsia" w:ascii="宋体" w:hAnsi="宋体" w:eastAsia="宋体" w:cs="宋体"/>
          <w:b/>
          <w:i/>
          <w:color w:val="auto"/>
          <w:spacing w:val="-4"/>
          <w:sz w:val="21"/>
          <w:szCs w:val="21"/>
          <w:highlight w:val="none"/>
          <w:u w:val="single"/>
          <w:lang w:eastAsia="zh-CN"/>
        </w:rPr>
        <w:t>月</w:t>
      </w:r>
      <w:r>
        <w:rPr>
          <w:rFonts w:hint="eastAsia" w:ascii="宋体" w:hAnsi="宋体" w:eastAsia="宋体" w:cs="宋体"/>
          <w:b/>
          <w:i/>
          <w:color w:val="auto"/>
          <w:spacing w:val="-4"/>
          <w:sz w:val="21"/>
          <w:szCs w:val="21"/>
          <w:highlight w:val="none"/>
          <w:u w:val="single"/>
        </w:rPr>
        <w:t>）内任意一个月缴纳职工社会保障资金的缴款凭证或缴款证明)</w:t>
      </w:r>
    </w:p>
    <w:p w14:paraId="34117EB0">
      <w:pPr>
        <w:keepNext w:val="0"/>
        <w:keepLines w:val="0"/>
        <w:pageBreakBefore w:val="0"/>
        <w:kinsoku/>
        <w:wordWrap/>
        <w:overflowPunct/>
        <w:topLinePunct w:val="0"/>
        <w:autoSpaceDE/>
        <w:autoSpaceDN/>
        <w:bidi w:val="0"/>
        <w:spacing w:line="360" w:lineRule="auto"/>
        <w:ind w:left="0" w:right="0" w:firstLine="396" w:firstLineChars="200"/>
        <w:textAlignment w:val="auto"/>
        <w:rPr>
          <w:rFonts w:hint="eastAsia" w:ascii="宋体" w:hAnsi="宋体" w:eastAsia="宋体" w:cs="宋体"/>
          <w:b/>
          <w:i/>
          <w:color w:val="auto"/>
          <w:spacing w:val="-6"/>
          <w:sz w:val="21"/>
          <w:szCs w:val="21"/>
          <w:highlight w:val="none"/>
          <w:u w:val="single"/>
        </w:rPr>
      </w:pPr>
      <w:r>
        <w:rPr>
          <w:rFonts w:hint="eastAsia" w:ascii="宋体" w:hAnsi="宋体" w:eastAsia="宋体" w:cs="宋体"/>
          <w:i/>
          <w:color w:val="auto"/>
          <w:spacing w:val="-6"/>
          <w:sz w:val="21"/>
          <w:szCs w:val="21"/>
          <w:highlight w:val="none"/>
          <w:u w:val="single"/>
        </w:rPr>
        <w:t>1.6供应商</w:t>
      </w:r>
      <w:r>
        <w:rPr>
          <w:rFonts w:hint="eastAsia" w:ascii="宋体" w:hAnsi="宋体" w:eastAsia="宋体" w:cs="宋体"/>
          <w:b/>
          <w:i/>
          <w:color w:val="auto"/>
          <w:spacing w:val="-4"/>
          <w:sz w:val="21"/>
          <w:szCs w:val="21"/>
          <w:highlight w:val="none"/>
          <w:u w:val="single"/>
        </w:rPr>
        <w:t>近三个月（</w:t>
      </w:r>
      <w:r>
        <w:rPr>
          <w:rFonts w:hint="eastAsia" w:ascii="宋体" w:hAnsi="宋体" w:eastAsia="宋体" w:cs="宋体"/>
          <w:b/>
          <w:i/>
          <w:color w:val="auto"/>
          <w:spacing w:val="-4"/>
          <w:sz w:val="21"/>
          <w:szCs w:val="21"/>
          <w:highlight w:val="none"/>
          <w:u w:val="single"/>
          <w:lang w:eastAsia="zh-CN"/>
        </w:rPr>
        <w:t>2026年</w:t>
      </w:r>
      <w:r>
        <w:rPr>
          <w:rFonts w:hint="eastAsia" w:ascii="宋体" w:hAnsi="宋体" w:cs="宋体"/>
          <w:b/>
          <w:i/>
          <w:color w:val="auto"/>
          <w:spacing w:val="-4"/>
          <w:sz w:val="21"/>
          <w:szCs w:val="21"/>
          <w:highlight w:val="none"/>
          <w:u w:val="single"/>
          <w:lang w:val="en-US" w:eastAsia="zh-CN"/>
        </w:rPr>
        <w:t>2</w:t>
      </w:r>
      <w:r>
        <w:rPr>
          <w:rFonts w:hint="eastAsia" w:ascii="宋体" w:hAnsi="宋体" w:eastAsia="宋体" w:cs="宋体"/>
          <w:b/>
          <w:i/>
          <w:color w:val="auto"/>
          <w:spacing w:val="-4"/>
          <w:sz w:val="21"/>
          <w:szCs w:val="21"/>
          <w:highlight w:val="none"/>
          <w:u w:val="single"/>
          <w:lang w:eastAsia="zh-CN"/>
        </w:rPr>
        <w:t>月-2026年</w:t>
      </w:r>
      <w:r>
        <w:rPr>
          <w:rFonts w:hint="eastAsia" w:ascii="宋体" w:hAnsi="宋体" w:cs="宋体"/>
          <w:b/>
          <w:i/>
          <w:color w:val="auto"/>
          <w:spacing w:val="-4"/>
          <w:sz w:val="21"/>
          <w:szCs w:val="21"/>
          <w:highlight w:val="none"/>
          <w:u w:val="single"/>
          <w:lang w:val="en-US" w:eastAsia="zh-CN"/>
        </w:rPr>
        <w:t>4</w:t>
      </w:r>
      <w:r>
        <w:rPr>
          <w:rFonts w:hint="eastAsia" w:ascii="宋体" w:hAnsi="宋体" w:eastAsia="宋体" w:cs="宋体"/>
          <w:b/>
          <w:i/>
          <w:color w:val="auto"/>
          <w:spacing w:val="-4"/>
          <w:sz w:val="21"/>
          <w:szCs w:val="21"/>
          <w:highlight w:val="none"/>
          <w:u w:val="single"/>
          <w:lang w:eastAsia="zh-CN"/>
        </w:rPr>
        <w:t>月</w:t>
      </w:r>
      <w:r>
        <w:rPr>
          <w:rFonts w:hint="eastAsia" w:ascii="宋体" w:hAnsi="宋体" w:eastAsia="宋体" w:cs="宋体"/>
          <w:b/>
          <w:i/>
          <w:color w:val="auto"/>
          <w:spacing w:val="-4"/>
          <w:sz w:val="21"/>
          <w:szCs w:val="21"/>
          <w:highlight w:val="none"/>
          <w:u w:val="single"/>
        </w:rPr>
        <w:t>）</w:t>
      </w:r>
      <w:r>
        <w:rPr>
          <w:rFonts w:hint="eastAsia" w:ascii="宋体" w:hAnsi="宋体" w:eastAsia="宋体" w:cs="宋体"/>
          <w:b/>
          <w:i/>
          <w:color w:val="auto"/>
          <w:spacing w:val="-6"/>
          <w:sz w:val="21"/>
          <w:szCs w:val="21"/>
          <w:highlight w:val="none"/>
          <w:u w:val="single"/>
        </w:rPr>
        <w:t>内</w:t>
      </w:r>
      <w:r>
        <w:rPr>
          <w:rFonts w:hint="eastAsia" w:ascii="宋体" w:hAnsi="宋体" w:eastAsia="宋体" w:cs="宋体"/>
          <w:i/>
          <w:color w:val="auto"/>
          <w:spacing w:val="-6"/>
          <w:sz w:val="21"/>
          <w:szCs w:val="21"/>
          <w:highlight w:val="none"/>
          <w:u w:val="single"/>
        </w:rPr>
        <w:t>任意一个月依法纳税的缴款凭证</w:t>
      </w:r>
      <w:r>
        <w:rPr>
          <w:rFonts w:hint="eastAsia" w:ascii="宋体" w:hAnsi="宋体" w:eastAsia="宋体" w:cs="宋体"/>
          <w:b/>
          <w:bCs/>
          <w:i/>
          <w:color w:val="auto"/>
          <w:spacing w:val="-6"/>
          <w:sz w:val="21"/>
          <w:szCs w:val="21"/>
          <w:highlight w:val="none"/>
          <w:u w:val="single"/>
        </w:rPr>
        <w:t>(复印件加盖供应商公章)</w:t>
      </w:r>
    </w:p>
    <w:p w14:paraId="0D091FFE">
      <w:pPr>
        <w:keepNext w:val="0"/>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i/>
          <w:color w:val="auto"/>
          <w:sz w:val="21"/>
          <w:szCs w:val="21"/>
          <w:highlight w:val="none"/>
          <w:u w:val="single"/>
        </w:rPr>
      </w:pPr>
      <w:r>
        <w:rPr>
          <w:rFonts w:hint="eastAsia" w:ascii="宋体" w:hAnsi="宋体" w:eastAsia="宋体" w:cs="宋体"/>
          <w:i/>
          <w:color w:val="auto"/>
          <w:sz w:val="21"/>
          <w:szCs w:val="21"/>
          <w:highlight w:val="none"/>
          <w:u w:val="single"/>
        </w:rPr>
        <w:t>1.7</w:t>
      </w:r>
      <w:r>
        <w:rPr>
          <w:rFonts w:hint="eastAsia" w:ascii="宋体" w:hAnsi="宋体" w:eastAsia="宋体" w:cs="宋体"/>
          <w:i/>
          <w:color w:val="auto"/>
          <w:kern w:val="0"/>
          <w:sz w:val="21"/>
          <w:szCs w:val="21"/>
          <w:highlight w:val="none"/>
          <w:u w:val="single"/>
          <w:lang w:val="en-US" w:eastAsia="zh-CN"/>
        </w:rPr>
        <w:t>供应商上一</w:t>
      </w:r>
      <w:r>
        <w:rPr>
          <w:rFonts w:hint="eastAsia" w:ascii="宋体" w:hAnsi="宋体" w:eastAsia="宋体" w:cs="宋体"/>
          <w:i/>
          <w:color w:val="auto"/>
          <w:kern w:val="0"/>
          <w:sz w:val="21"/>
          <w:szCs w:val="21"/>
          <w:highlight w:val="none"/>
          <w:u w:val="single"/>
        </w:rPr>
        <w:t>年度财务</w:t>
      </w:r>
      <w:r>
        <w:rPr>
          <w:rFonts w:hint="eastAsia" w:ascii="宋体" w:hAnsi="宋体" w:eastAsia="宋体" w:cs="宋体"/>
          <w:i/>
          <w:color w:val="auto"/>
          <w:kern w:val="0"/>
          <w:sz w:val="21"/>
          <w:szCs w:val="21"/>
          <w:highlight w:val="none"/>
          <w:u w:val="single"/>
          <w:lang w:val="en-US" w:eastAsia="zh-CN"/>
        </w:rPr>
        <w:t>状况</w:t>
      </w:r>
      <w:r>
        <w:rPr>
          <w:rFonts w:hint="eastAsia" w:ascii="宋体" w:hAnsi="宋体" w:eastAsia="宋体" w:cs="宋体"/>
          <w:i/>
          <w:color w:val="auto"/>
          <w:kern w:val="0"/>
          <w:sz w:val="21"/>
          <w:szCs w:val="21"/>
          <w:highlight w:val="none"/>
          <w:u w:val="single"/>
        </w:rPr>
        <w:t>报告</w:t>
      </w:r>
      <w:r>
        <w:rPr>
          <w:rFonts w:hint="eastAsia" w:ascii="宋体" w:hAnsi="宋体" w:eastAsia="宋体" w:cs="宋体"/>
          <w:i/>
          <w:color w:val="auto"/>
          <w:sz w:val="21"/>
          <w:szCs w:val="21"/>
          <w:highlight w:val="none"/>
          <w:u w:val="single"/>
        </w:rPr>
        <w:t>（成立不满一年不需提供</w:t>
      </w:r>
      <w:r>
        <w:rPr>
          <w:rFonts w:hint="eastAsia" w:ascii="宋体" w:hAnsi="宋体" w:eastAsia="宋体" w:cs="宋体"/>
          <w:i/>
          <w:color w:val="auto"/>
          <w:sz w:val="21"/>
          <w:szCs w:val="21"/>
          <w:highlight w:val="none"/>
          <w:u w:val="single"/>
          <w:lang w:eastAsia="zh-CN"/>
        </w:rPr>
        <w:t>，</w:t>
      </w:r>
      <w:r>
        <w:rPr>
          <w:rFonts w:hint="eastAsia" w:ascii="宋体" w:hAnsi="宋体" w:eastAsia="宋体" w:cs="宋体"/>
          <w:i/>
          <w:color w:val="auto"/>
          <w:sz w:val="21"/>
          <w:szCs w:val="21"/>
          <w:highlight w:val="none"/>
          <w:u w:val="single"/>
        </w:rPr>
        <w:t>如2025年度财务状况报告未出，可提供2024年财务状况报告）</w:t>
      </w:r>
      <w:r>
        <w:rPr>
          <w:rFonts w:hint="eastAsia" w:ascii="宋体" w:hAnsi="宋体" w:eastAsia="宋体" w:cs="宋体"/>
          <w:b/>
          <w:i/>
          <w:color w:val="auto"/>
          <w:sz w:val="21"/>
          <w:szCs w:val="21"/>
          <w:highlight w:val="none"/>
          <w:u w:val="single"/>
        </w:rPr>
        <w:t>(复印件加盖供应商公章)</w:t>
      </w:r>
    </w:p>
    <w:p w14:paraId="44043545">
      <w:pPr>
        <w:keepNext w:val="0"/>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b/>
          <w:bCs/>
          <w:i/>
          <w:color w:val="auto"/>
          <w:sz w:val="21"/>
          <w:szCs w:val="21"/>
          <w:highlight w:val="none"/>
          <w:u w:val="single"/>
        </w:rPr>
      </w:pPr>
      <w:r>
        <w:rPr>
          <w:rFonts w:hint="eastAsia" w:ascii="宋体" w:hAnsi="宋体" w:eastAsia="宋体" w:cs="宋体"/>
          <w:i/>
          <w:color w:val="auto"/>
          <w:sz w:val="21"/>
          <w:szCs w:val="21"/>
          <w:highlight w:val="none"/>
          <w:u w:val="single"/>
        </w:rPr>
        <w:t>1.8供应商参加本次采购活动前3年内在经营活动中没有重大违法记录的书面声明</w:t>
      </w:r>
      <w:r>
        <w:rPr>
          <w:rFonts w:hint="eastAsia" w:ascii="宋体" w:hAnsi="宋体" w:eastAsia="宋体" w:cs="宋体"/>
          <w:b/>
          <w:bCs/>
          <w:i/>
          <w:color w:val="auto"/>
          <w:sz w:val="21"/>
          <w:szCs w:val="21"/>
          <w:highlight w:val="none"/>
          <w:u w:val="single"/>
        </w:rPr>
        <w:t>（原件）</w:t>
      </w:r>
    </w:p>
    <w:p w14:paraId="311D9ABF">
      <w:pPr>
        <w:keepNext w:val="0"/>
        <w:keepLines w:val="0"/>
        <w:pageBreakBefore w:val="0"/>
        <w:kinsoku/>
        <w:wordWrap/>
        <w:overflowPunct/>
        <w:topLinePunct w:val="0"/>
        <w:autoSpaceDE/>
        <w:autoSpaceDN/>
        <w:bidi w:val="0"/>
        <w:adjustRightInd w:val="0"/>
        <w:snapToGrid w:val="0"/>
        <w:spacing w:line="360" w:lineRule="auto"/>
        <w:ind w:left="0" w:right="0" w:firstLine="420" w:firstLineChars="200"/>
        <w:textAlignment w:val="auto"/>
        <w:rPr>
          <w:rFonts w:hint="eastAsia" w:ascii="宋体" w:hAnsi="宋体" w:eastAsia="宋体" w:cs="宋体"/>
          <w:b/>
          <w:i/>
          <w:color w:val="auto"/>
          <w:spacing w:val="-6"/>
          <w:sz w:val="21"/>
          <w:szCs w:val="21"/>
          <w:highlight w:val="none"/>
          <w:u w:val="single"/>
        </w:rPr>
      </w:pPr>
      <w:r>
        <w:rPr>
          <w:rFonts w:hint="eastAsia" w:ascii="宋体" w:hAnsi="宋体" w:eastAsia="宋体" w:cs="宋体"/>
          <w:bCs/>
          <w:i/>
          <w:color w:val="auto"/>
          <w:sz w:val="21"/>
          <w:szCs w:val="21"/>
          <w:highlight w:val="none"/>
          <w:u w:val="single"/>
        </w:rPr>
        <w:t>1</w:t>
      </w:r>
      <w:r>
        <w:rPr>
          <w:rFonts w:hint="eastAsia" w:ascii="宋体" w:hAnsi="宋体" w:eastAsia="宋体" w:cs="宋体"/>
          <w:i/>
          <w:color w:val="auto"/>
          <w:sz w:val="21"/>
          <w:szCs w:val="21"/>
          <w:highlight w:val="none"/>
          <w:u w:val="single"/>
        </w:rPr>
        <w:t>.9未被“信用中国”网站、“中国政府采购网”列入失信被执行人、重大税收违法案件当事人名单、政府采购严重违法失信行为记录名单</w:t>
      </w:r>
      <w:r>
        <w:rPr>
          <w:rFonts w:hint="eastAsia" w:ascii="宋体" w:hAnsi="宋体" w:eastAsia="宋体" w:cs="宋体"/>
          <w:b/>
          <w:i/>
          <w:color w:val="auto"/>
          <w:spacing w:val="-6"/>
          <w:sz w:val="21"/>
          <w:szCs w:val="21"/>
          <w:highlight w:val="none"/>
          <w:u w:val="single"/>
        </w:rPr>
        <w:t>（提供网页查询截图并加盖供应商公章，查询时间为自磋商公告发布至开标截止时间前任意时间）</w:t>
      </w:r>
    </w:p>
    <w:p w14:paraId="4C2C7D6D">
      <w:pPr>
        <w:keepNext w:val="0"/>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i/>
          <w:color w:val="auto"/>
          <w:sz w:val="21"/>
          <w:szCs w:val="21"/>
          <w:highlight w:val="none"/>
          <w:u w:val="single"/>
        </w:rPr>
        <w:t>1.10供应商信用承诺函</w:t>
      </w:r>
      <w:r>
        <w:rPr>
          <w:rFonts w:hint="eastAsia" w:ascii="宋体" w:hAnsi="宋体" w:eastAsia="宋体" w:cs="宋体"/>
          <w:b/>
          <w:bCs/>
          <w:i/>
          <w:color w:val="auto"/>
          <w:sz w:val="21"/>
          <w:szCs w:val="21"/>
          <w:highlight w:val="none"/>
          <w:u w:val="single"/>
        </w:rPr>
        <w:t>（原件）</w:t>
      </w:r>
    </w:p>
    <w:p w14:paraId="1FE6BC55">
      <w:pPr>
        <w:keepNext w:val="0"/>
        <w:keepLines w:val="0"/>
        <w:pageBreakBefore w:val="0"/>
        <w:kinsoku/>
        <w:wordWrap/>
        <w:overflowPunct/>
        <w:topLinePunct w:val="0"/>
        <w:autoSpaceDE/>
        <w:autoSpaceDN/>
        <w:bidi w:val="0"/>
        <w:adjustRightInd/>
        <w:snapToGrid w:val="0"/>
        <w:spacing w:line="360" w:lineRule="auto"/>
        <w:ind w:left="0" w:right="0" w:firstLine="420" w:firstLineChars="200"/>
        <w:textAlignment w:val="auto"/>
        <w:outlineLvl w:val="0"/>
        <w:rPr>
          <w:rFonts w:hint="eastAsia" w:ascii="宋体" w:hAnsi="宋体" w:eastAsia="宋体" w:cs="宋体"/>
          <w:iCs/>
          <w:color w:val="auto"/>
          <w:sz w:val="21"/>
          <w:szCs w:val="21"/>
          <w:highlight w:val="none"/>
          <w:lang w:eastAsia="zh-CN"/>
        </w:rPr>
      </w:pPr>
      <w:r>
        <w:rPr>
          <w:rFonts w:hint="eastAsia" w:ascii="宋体" w:hAnsi="宋体" w:eastAsia="宋体" w:cs="宋体"/>
          <w:iCs/>
          <w:color w:val="auto"/>
          <w:sz w:val="21"/>
          <w:szCs w:val="21"/>
          <w:highlight w:val="none"/>
        </w:rPr>
        <w:t>注</w:t>
      </w:r>
      <w:r>
        <w:rPr>
          <w:rFonts w:hint="eastAsia" w:ascii="宋体" w:hAnsi="宋体" w:eastAsia="宋体" w:cs="宋体"/>
          <w:iCs/>
          <w:color w:val="auto"/>
          <w:sz w:val="21"/>
          <w:szCs w:val="21"/>
          <w:highlight w:val="none"/>
          <w:lang w:eastAsia="zh-CN"/>
        </w:rPr>
        <w:t>：</w:t>
      </w:r>
    </w:p>
    <w:p w14:paraId="643216BD">
      <w:pPr>
        <w:keepNext w:val="0"/>
        <w:keepLines w:val="0"/>
        <w:pageBreakBefore w:val="0"/>
        <w:kinsoku/>
        <w:wordWrap/>
        <w:overflowPunct/>
        <w:topLinePunct w:val="0"/>
        <w:autoSpaceDE/>
        <w:autoSpaceDN/>
        <w:bidi w:val="0"/>
        <w:adjustRightInd/>
        <w:snapToGrid w:val="0"/>
        <w:spacing w:line="360" w:lineRule="auto"/>
        <w:ind w:left="0" w:right="0" w:firstLine="420" w:firstLineChars="200"/>
        <w:textAlignment w:val="auto"/>
        <w:outlineLvl w:val="0"/>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（1）如参加本项目的</w:t>
      </w:r>
      <w:r>
        <w:rPr>
          <w:rFonts w:hint="eastAsia" w:ascii="宋体" w:hAnsi="宋体" w:eastAsia="宋体" w:cs="宋体"/>
          <w:iCs/>
          <w:color w:val="auto"/>
          <w:sz w:val="21"/>
          <w:szCs w:val="21"/>
          <w:highlight w:val="none"/>
          <w:lang w:val="en-US" w:eastAsia="zh-CN"/>
        </w:rPr>
        <w:t>供应商</w:t>
      </w:r>
      <w:r>
        <w:rPr>
          <w:rFonts w:hint="eastAsia" w:ascii="宋体" w:hAnsi="宋体" w:eastAsia="宋体" w:cs="宋体"/>
          <w:iCs/>
          <w:color w:val="auto"/>
          <w:sz w:val="21"/>
          <w:szCs w:val="21"/>
          <w:highlight w:val="none"/>
        </w:rPr>
        <w:t>为个体工商户、自然人或事业</w:t>
      </w:r>
      <w:r>
        <w:rPr>
          <w:rFonts w:hint="eastAsia" w:ascii="宋体" w:hAnsi="宋体" w:eastAsia="宋体" w:cs="宋体"/>
          <w:iCs/>
          <w:color w:val="auto"/>
          <w:sz w:val="21"/>
          <w:szCs w:val="21"/>
          <w:highlight w:val="none"/>
          <w:lang w:val="en-US" w:eastAsia="zh-CN"/>
        </w:rPr>
        <w:t>单位</w:t>
      </w:r>
      <w:r>
        <w:rPr>
          <w:rFonts w:hint="eastAsia" w:ascii="宋体" w:hAnsi="宋体" w:eastAsia="宋体" w:cs="宋体"/>
          <w:iCs/>
          <w:color w:val="auto"/>
          <w:sz w:val="21"/>
          <w:szCs w:val="21"/>
          <w:highlight w:val="none"/>
        </w:rPr>
        <w:t>等非企业法人</w:t>
      </w:r>
      <w:r>
        <w:rPr>
          <w:rFonts w:hint="eastAsia" w:ascii="宋体" w:hAnsi="宋体" w:eastAsia="宋体" w:cs="宋体"/>
          <w:iCs/>
          <w:color w:val="auto"/>
          <w:sz w:val="21"/>
          <w:szCs w:val="21"/>
          <w:highlight w:val="none"/>
          <w:lang w:val="en-US" w:eastAsia="zh-CN"/>
        </w:rPr>
        <w:t>或新成立公司（公司成立距开标不满一年的）</w:t>
      </w:r>
      <w:r>
        <w:rPr>
          <w:rFonts w:hint="eastAsia" w:ascii="宋体" w:hAnsi="宋体" w:eastAsia="宋体" w:cs="宋体"/>
          <w:iCs/>
          <w:color w:val="auto"/>
          <w:sz w:val="21"/>
          <w:szCs w:val="21"/>
          <w:highlight w:val="none"/>
        </w:rPr>
        <w:t>，</w:t>
      </w:r>
      <w:r>
        <w:rPr>
          <w:rFonts w:hint="eastAsia" w:ascii="宋体" w:hAnsi="宋体" w:eastAsia="宋体" w:cs="宋体"/>
          <w:iCs/>
          <w:color w:val="auto"/>
          <w:sz w:val="21"/>
          <w:szCs w:val="21"/>
          <w:highlight w:val="none"/>
          <w:lang w:val="en-US" w:eastAsia="zh-CN"/>
        </w:rPr>
        <w:t>确实无法提供</w:t>
      </w:r>
      <w:r>
        <w:rPr>
          <w:rFonts w:hint="eastAsia" w:ascii="宋体" w:hAnsi="宋体" w:eastAsia="宋体" w:cs="宋体"/>
          <w:iCs/>
          <w:color w:val="auto"/>
          <w:sz w:val="21"/>
          <w:szCs w:val="21"/>
          <w:highlight w:val="none"/>
        </w:rPr>
        <w:t>上述1.5-1.7三项</w:t>
      </w:r>
      <w:r>
        <w:rPr>
          <w:rFonts w:hint="eastAsia" w:ascii="宋体" w:hAnsi="宋体" w:eastAsia="宋体" w:cs="宋体"/>
          <w:iCs/>
          <w:color w:val="auto"/>
          <w:sz w:val="21"/>
          <w:szCs w:val="21"/>
          <w:highlight w:val="none"/>
          <w:lang w:val="en-US" w:eastAsia="zh-CN"/>
        </w:rPr>
        <w:t>材料的</w:t>
      </w:r>
      <w:r>
        <w:rPr>
          <w:rFonts w:hint="eastAsia" w:ascii="宋体" w:hAnsi="宋体" w:eastAsia="宋体" w:cs="宋体"/>
          <w:iCs/>
          <w:color w:val="auto"/>
          <w:sz w:val="21"/>
          <w:szCs w:val="21"/>
          <w:highlight w:val="none"/>
        </w:rPr>
        <w:t>，</w:t>
      </w:r>
      <w:r>
        <w:rPr>
          <w:rFonts w:hint="eastAsia" w:ascii="宋体" w:hAnsi="宋体" w:eastAsia="宋体" w:cs="宋体"/>
          <w:iCs/>
          <w:color w:val="auto"/>
          <w:sz w:val="21"/>
          <w:szCs w:val="21"/>
          <w:highlight w:val="none"/>
          <w:lang w:val="en-US" w:eastAsia="zh-CN"/>
        </w:rPr>
        <w:t>请提供相应情况说明，</w:t>
      </w:r>
      <w:r>
        <w:rPr>
          <w:rFonts w:hint="eastAsia" w:ascii="宋体" w:hAnsi="宋体" w:eastAsia="宋体" w:cs="宋体"/>
          <w:iCs/>
          <w:color w:val="auto"/>
          <w:sz w:val="21"/>
          <w:szCs w:val="21"/>
          <w:highlight w:val="none"/>
        </w:rPr>
        <w:t>本文件中所需法定代表人相关材料、盖章及签字等可用</w:t>
      </w:r>
      <w:r>
        <w:rPr>
          <w:rFonts w:hint="eastAsia" w:ascii="宋体" w:hAnsi="宋体" w:eastAsia="宋体" w:cs="宋体"/>
          <w:iCs/>
          <w:color w:val="auto"/>
          <w:sz w:val="21"/>
          <w:szCs w:val="21"/>
          <w:highlight w:val="none"/>
          <w:lang w:val="en-US" w:eastAsia="zh-CN"/>
        </w:rPr>
        <w:t>供应商</w:t>
      </w:r>
      <w:r>
        <w:rPr>
          <w:rFonts w:hint="eastAsia" w:ascii="宋体" w:hAnsi="宋体" w:eastAsia="宋体" w:cs="宋体"/>
          <w:iCs/>
          <w:color w:val="auto"/>
          <w:sz w:val="21"/>
          <w:szCs w:val="21"/>
          <w:highlight w:val="none"/>
        </w:rPr>
        <w:t>相关负责人的相应材料代替。</w:t>
      </w:r>
    </w:p>
    <w:p w14:paraId="278CA71A">
      <w:pPr>
        <w:keepNext w:val="0"/>
        <w:keepLines w:val="0"/>
        <w:pageBreakBefore w:val="0"/>
        <w:kinsoku/>
        <w:wordWrap/>
        <w:overflowPunct/>
        <w:topLinePunct w:val="0"/>
        <w:autoSpaceDE/>
        <w:autoSpaceDN/>
        <w:bidi w:val="0"/>
        <w:adjustRightInd/>
        <w:snapToGrid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iCs/>
          <w:color w:val="auto"/>
          <w:sz w:val="21"/>
          <w:szCs w:val="21"/>
          <w:highlight w:val="none"/>
        </w:rPr>
        <w:t>（2）</w:t>
      </w:r>
      <w:r>
        <w:rPr>
          <w:rFonts w:hint="eastAsia" w:ascii="宋体" w:hAnsi="宋体" w:eastAsia="宋体" w:cs="宋体"/>
          <w:iCs/>
          <w:color w:val="auto"/>
          <w:sz w:val="21"/>
          <w:szCs w:val="21"/>
          <w:highlight w:val="none"/>
          <w:lang w:val="en-US" w:eastAsia="zh-CN"/>
        </w:rPr>
        <w:t>供应商</w:t>
      </w:r>
      <w:r>
        <w:rPr>
          <w:rFonts w:hint="eastAsia" w:ascii="宋体" w:hAnsi="宋体" w:eastAsia="宋体" w:cs="宋体"/>
          <w:iCs/>
          <w:color w:val="auto"/>
          <w:sz w:val="21"/>
          <w:szCs w:val="21"/>
          <w:highlight w:val="none"/>
        </w:rPr>
        <w:t>如有相关政策支持，延期缴纳或暂不缴纳职工社会保障资金、税收的，须提供相关证明材料。</w:t>
      </w:r>
    </w:p>
    <w:p w14:paraId="5BD4B69B">
      <w:pPr>
        <w:keepNext w:val="0"/>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文件的正本和副本中均须提供上述资格证明文件。资格证明文件须清晰可辨，若有缺失或不清晰，将导致投标被拒绝且不允许在开标后补正。</w:t>
      </w:r>
    </w:p>
    <w:p w14:paraId="410D5E3D">
      <w:pPr>
        <w:keepNext w:val="0"/>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2、落实采购政策需满足的资格要求：</w:t>
      </w:r>
      <w:r>
        <w:rPr>
          <w:rFonts w:hint="eastAsia" w:ascii="宋体" w:hAnsi="宋体" w:eastAsia="宋体" w:cs="宋体"/>
          <w:color w:val="auto"/>
          <w:kern w:val="2"/>
          <w:sz w:val="21"/>
          <w:szCs w:val="21"/>
          <w:highlight w:val="none"/>
          <w:lang w:val="en"/>
        </w:rPr>
        <w:t>根据《政府采购促进中小企业发展管理办法》的规定，本项目专门面向中小</w:t>
      </w:r>
      <w:r>
        <w:rPr>
          <w:rFonts w:hint="eastAsia" w:ascii="宋体" w:hAnsi="宋体" w:eastAsia="宋体" w:cs="宋体"/>
          <w:color w:val="auto"/>
          <w:kern w:val="2"/>
          <w:sz w:val="21"/>
          <w:szCs w:val="21"/>
          <w:highlight w:val="none"/>
          <w:lang w:val="en-US" w:eastAsia="zh-CN"/>
        </w:rPr>
        <w:t>微</w:t>
      </w:r>
      <w:r>
        <w:rPr>
          <w:rFonts w:hint="eastAsia" w:ascii="宋体" w:hAnsi="宋体" w:eastAsia="宋体" w:cs="宋体"/>
          <w:color w:val="auto"/>
          <w:kern w:val="2"/>
          <w:sz w:val="21"/>
          <w:szCs w:val="21"/>
          <w:highlight w:val="none"/>
          <w:lang w:val="en"/>
        </w:rPr>
        <w:t>企业采购</w:t>
      </w:r>
      <w:r>
        <w:rPr>
          <w:rFonts w:hint="eastAsia" w:ascii="宋体" w:hAnsi="宋体" w:eastAsia="宋体" w:cs="宋体"/>
          <w:color w:val="auto"/>
          <w:kern w:val="2"/>
          <w:sz w:val="21"/>
          <w:szCs w:val="21"/>
          <w:highlight w:val="none"/>
          <w:lang w:val="en" w:eastAsia="zh-CN"/>
        </w:rPr>
        <w:t>。</w:t>
      </w:r>
      <w:r>
        <w:rPr>
          <w:rFonts w:hint="eastAsia" w:ascii="宋体" w:hAnsi="宋体" w:eastAsia="宋体" w:cs="宋体"/>
          <w:color w:val="auto"/>
          <w:kern w:val="2"/>
          <w:sz w:val="21"/>
          <w:szCs w:val="21"/>
          <w:highlight w:val="none"/>
          <w:lang w:val="en"/>
        </w:rPr>
        <w:t>残疾人福利性单位、监狱和戒毒企业（简称监狱企业）视同小型、微型企业。</w:t>
      </w:r>
      <w:r>
        <w:rPr>
          <w:rFonts w:hint="eastAsia" w:ascii="宋体" w:hAnsi="宋体" w:eastAsia="宋体" w:cs="宋体"/>
          <w:color w:val="auto"/>
          <w:kern w:val="2"/>
          <w:sz w:val="21"/>
          <w:szCs w:val="21"/>
          <w:highlight w:val="none"/>
          <w:lang w:val="en" w:eastAsia="zh-CN"/>
        </w:rPr>
        <w:t>（供应商按要求填写并提供《中小微企业声明函》或《残疾人福利性单位声明函》，或提供由省级以上监狱管理局、戒毒管理局(含新疆生产建设兵团)出具的属于监狱企业的证明文件。）</w:t>
      </w:r>
    </w:p>
    <w:p w14:paraId="38D04BF3">
      <w:pPr>
        <w:keepNext w:val="0"/>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p>
    <w:p w14:paraId="2DFD732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3、本项目的特定资格要求：</w:t>
      </w:r>
    </w:p>
    <w:p w14:paraId="1FF196C0">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i/>
          <w:color w:val="auto"/>
          <w:sz w:val="21"/>
          <w:szCs w:val="21"/>
          <w:highlight w:val="none"/>
          <w:u w:val="single"/>
        </w:rPr>
      </w:pPr>
      <w:r>
        <w:rPr>
          <w:rFonts w:hint="eastAsia" w:ascii="宋体" w:hAnsi="宋体" w:eastAsia="宋体" w:cs="宋体"/>
          <w:i/>
          <w:iCs/>
          <w:color w:val="auto"/>
          <w:sz w:val="21"/>
          <w:szCs w:val="21"/>
          <w:highlight w:val="none"/>
          <w:u w:val="single"/>
        </w:rPr>
        <w:t>3.1供应商具备</w:t>
      </w:r>
      <w:r>
        <w:rPr>
          <w:rFonts w:hint="eastAsia" w:ascii="宋体" w:hAnsi="宋体" w:cs="宋体"/>
          <w:i/>
          <w:iCs/>
          <w:color w:val="auto"/>
          <w:sz w:val="21"/>
          <w:szCs w:val="21"/>
          <w:highlight w:val="none"/>
          <w:u w:val="single"/>
          <w:lang w:val="en-US" w:eastAsia="zh-CN"/>
        </w:rPr>
        <w:t>有效期内的</w:t>
      </w:r>
      <w:r>
        <w:rPr>
          <w:rFonts w:hint="eastAsia" w:ascii="宋体" w:hAnsi="宋体" w:eastAsia="宋体" w:cs="宋体"/>
          <w:i/>
          <w:iCs/>
          <w:color w:val="auto"/>
          <w:sz w:val="21"/>
          <w:szCs w:val="21"/>
          <w:highlight w:val="none"/>
          <w:u w:val="single"/>
        </w:rPr>
        <w:t>工程监理综合资质或</w:t>
      </w:r>
      <w:r>
        <w:rPr>
          <w:rFonts w:hint="eastAsia" w:ascii="宋体" w:hAnsi="宋体" w:eastAsia="宋体" w:cs="宋体"/>
          <w:i/>
          <w:iCs/>
          <w:color w:val="auto"/>
          <w:sz w:val="21"/>
          <w:szCs w:val="21"/>
          <w:highlight w:val="none"/>
          <w:u w:val="single"/>
          <w:lang w:val="en-US" w:eastAsia="zh-CN"/>
        </w:rPr>
        <w:t>市政公用工程</w:t>
      </w:r>
      <w:r>
        <w:rPr>
          <w:rFonts w:hint="eastAsia" w:ascii="宋体" w:hAnsi="宋体" w:eastAsia="宋体" w:cs="宋体"/>
          <w:i/>
          <w:iCs/>
          <w:color w:val="auto"/>
          <w:sz w:val="21"/>
          <w:szCs w:val="21"/>
          <w:highlight w:val="none"/>
          <w:u w:val="single"/>
        </w:rPr>
        <w:t>监理丙级及以上资质</w:t>
      </w:r>
      <w:r>
        <w:rPr>
          <w:rFonts w:hint="eastAsia" w:ascii="宋体" w:hAnsi="宋体" w:eastAsia="宋体" w:cs="宋体"/>
          <w:b/>
          <w:i/>
          <w:color w:val="auto"/>
          <w:sz w:val="21"/>
          <w:szCs w:val="21"/>
          <w:highlight w:val="none"/>
          <w:u w:val="single"/>
        </w:rPr>
        <w:t>(复印件加盖供应商公章)</w:t>
      </w:r>
    </w:p>
    <w:p w14:paraId="3EEB7575">
      <w:pPr>
        <w:keepNext w:val="0"/>
        <w:keepLines w:val="0"/>
        <w:pageBreakBefore w:val="0"/>
        <w:widowControl w:val="0"/>
        <w:kinsoku/>
        <w:wordWrap/>
        <w:overflowPunct/>
        <w:topLinePunct w:val="0"/>
        <w:autoSpaceDE/>
        <w:autoSpaceDN/>
        <w:bidi w:val="0"/>
        <w:adjustRightInd/>
        <w:spacing w:line="360" w:lineRule="auto"/>
        <w:ind w:firstLine="396" w:firstLineChars="200"/>
        <w:textAlignment w:val="auto"/>
        <w:rPr>
          <w:rFonts w:hint="eastAsia" w:ascii="宋体" w:hAnsi="宋体" w:eastAsia="宋体" w:cs="宋体"/>
          <w:b/>
          <w:i/>
          <w:color w:val="auto"/>
          <w:sz w:val="21"/>
          <w:szCs w:val="21"/>
          <w:highlight w:val="none"/>
          <w:u w:val="single"/>
        </w:rPr>
      </w:pPr>
      <w:r>
        <w:rPr>
          <w:rFonts w:hint="eastAsia" w:ascii="宋体" w:hAnsi="宋体" w:eastAsia="宋体" w:cs="宋体"/>
          <w:bCs/>
          <w:i/>
          <w:iCs/>
          <w:color w:val="auto"/>
          <w:spacing w:val="-6"/>
          <w:sz w:val="21"/>
          <w:szCs w:val="21"/>
          <w:highlight w:val="none"/>
          <w:u w:val="single"/>
        </w:rPr>
        <w:t>3.2</w:t>
      </w:r>
      <w:r>
        <w:rPr>
          <w:rFonts w:hint="eastAsia" w:ascii="宋体" w:hAnsi="宋体" w:eastAsia="宋体" w:cs="宋体"/>
          <w:i/>
          <w:color w:val="auto"/>
          <w:sz w:val="21"/>
          <w:szCs w:val="21"/>
          <w:highlight w:val="none"/>
          <w:u w:val="single"/>
        </w:rPr>
        <w:t>拟派项目总监为本公司正式员工，正常缴纳社会保险，具备</w:t>
      </w:r>
      <w:r>
        <w:rPr>
          <w:rFonts w:hint="eastAsia" w:ascii="宋体" w:hAnsi="宋体" w:eastAsia="宋体" w:cs="宋体"/>
          <w:i/>
          <w:color w:val="auto"/>
          <w:sz w:val="21"/>
          <w:szCs w:val="21"/>
          <w:highlight w:val="none"/>
          <w:u w:val="single"/>
          <w:lang w:val="en-US" w:eastAsia="zh-CN"/>
        </w:rPr>
        <w:t>市政公用</w:t>
      </w:r>
      <w:r>
        <w:rPr>
          <w:rFonts w:hint="eastAsia" w:ascii="宋体" w:hAnsi="宋体" w:eastAsia="宋体" w:cs="宋体"/>
          <w:i/>
          <w:iCs/>
          <w:color w:val="auto"/>
          <w:spacing w:val="-6"/>
          <w:sz w:val="21"/>
          <w:szCs w:val="21"/>
          <w:highlight w:val="none"/>
          <w:u w:val="single"/>
        </w:rPr>
        <w:t>工程国家注册监理工程师资格</w:t>
      </w:r>
      <w:r>
        <w:rPr>
          <w:rFonts w:hint="eastAsia" w:ascii="宋体" w:hAnsi="宋体" w:eastAsia="宋体" w:cs="宋体"/>
          <w:i/>
          <w:color w:val="auto"/>
          <w:sz w:val="21"/>
          <w:szCs w:val="21"/>
          <w:highlight w:val="none"/>
          <w:u w:val="single"/>
        </w:rPr>
        <w:t xml:space="preserve"> </w:t>
      </w:r>
      <w:r>
        <w:rPr>
          <w:rFonts w:hint="eastAsia" w:ascii="宋体" w:hAnsi="宋体" w:eastAsia="宋体" w:cs="宋体"/>
          <w:b/>
          <w:i/>
          <w:color w:val="auto"/>
          <w:sz w:val="21"/>
          <w:szCs w:val="21"/>
          <w:highlight w:val="none"/>
          <w:u w:val="single"/>
        </w:rPr>
        <w:t>(提供拟派项目总监</w:t>
      </w:r>
      <w:r>
        <w:rPr>
          <w:rFonts w:hint="eastAsia" w:ascii="宋体" w:hAnsi="宋体" w:eastAsia="宋体" w:cs="宋体"/>
          <w:b/>
          <w:i/>
          <w:color w:val="auto"/>
          <w:sz w:val="21"/>
          <w:szCs w:val="21"/>
          <w:highlight w:val="none"/>
          <w:u w:val="single"/>
          <w:lang w:val="en-US" w:eastAsia="zh-CN"/>
        </w:rPr>
        <w:t>市政公用</w:t>
      </w:r>
      <w:r>
        <w:rPr>
          <w:rFonts w:hint="eastAsia" w:ascii="宋体" w:hAnsi="宋体" w:eastAsia="宋体" w:cs="宋体"/>
          <w:b/>
          <w:i/>
          <w:iCs/>
          <w:color w:val="auto"/>
          <w:spacing w:val="-6"/>
          <w:sz w:val="21"/>
          <w:szCs w:val="21"/>
          <w:highlight w:val="none"/>
          <w:u w:val="single"/>
        </w:rPr>
        <w:t>工程国家注册监理工程师</w:t>
      </w:r>
      <w:r>
        <w:rPr>
          <w:rFonts w:hint="eastAsia" w:ascii="宋体" w:hAnsi="宋体" w:eastAsia="宋体" w:cs="宋体"/>
          <w:b/>
          <w:i/>
          <w:color w:val="auto"/>
          <w:sz w:val="21"/>
          <w:szCs w:val="21"/>
          <w:highlight w:val="none"/>
          <w:u w:val="single"/>
        </w:rPr>
        <w:t>证书和供应商为其缴纳的</w:t>
      </w:r>
      <w:r>
        <w:rPr>
          <w:rFonts w:hint="eastAsia" w:ascii="宋体" w:hAnsi="宋体" w:eastAsia="宋体" w:cs="宋体"/>
          <w:b/>
          <w:bCs/>
          <w:i/>
          <w:iCs/>
          <w:color w:val="auto"/>
          <w:sz w:val="21"/>
          <w:szCs w:val="21"/>
          <w:highlight w:val="none"/>
          <w:u w:val="single"/>
          <w:lang w:val="en-US" w:eastAsia="zh-CN"/>
        </w:rPr>
        <w:t>近</w:t>
      </w:r>
      <w:r>
        <w:rPr>
          <w:rFonts w:hint="eastAsia" w:ascii="宋体" w:hAnsi="宋体" w:eastAsia="宋体" w:cs="宋体"/>
          <w:b/>
          <w:bCs/>
          <w:i/>
          <w:iCs/>
          <w:color w:val="auto"/>
          <w:sz w:val="21"/>
          <w:szCs w:val="21"/>
          <w:highlight w:val="none"/>
          <w:u w:val="single"/>
        </w:rPr>
        <w:t>三个月</w:t>
      </w:r>
      <w:r>
        <w:rPr>
          <w:rFonts w:hint="eastAsia" w:ascii="宋体" w:hAnsi="宋体" w:eastAsia="宋体" w:cs="宋体"/>
          <w:b/>
          <w:bCs/>
          <w:i/>
          <w:iCs/>
          <w:color w:val="auto"/>
          <w:sz w:val="21"/>
          <w:szCs w:val="21"/>
          <w:highlight w:val="none"/>
          <w:u w:val="single"/>
          <w:lang w:eastAsia="zh-CN"/>
        </w:rPr>
        <w:t>（</w:t>
      </w:r>
      <w:r>
        <w:rPr>
          <w:rFonts w:hint="eastAsia" w:ascii="宋体" w:hAnsi="宋体" w:eastAsia="宋体" w:cs="宋体"/>
          <w:b/>
          <w:i/>
          <w:color w:val="auto"/>
          <w:sz w:val="21"/>
          <w:szCs w:val="21"/>
          <w:highlight w:val="none"/>
          <w:u w:val="single"/>
        </w:rPr>
        <w:t>202</w:t>
      </w:r>
      <w:r>
        <w:rPr>
          <w:rFonts w:hint="eastAsia" w:ascii="宋体" w:hAnsi="宋体" w:eastAsia="宋体" w:cs="宋体"/>
          <w:b/>
          <w:i/>
          <w:color w:val="auto"/>
          <w:sz w:val="21"/>
          <w:szCs w:val="21"/>
          <w:highlight w:val="none"/>
          <w:u w:val="single"/>
          <w:lang w:val="en-US" w:eastAsia="zh-CN"/>
        </w:rPr>
        <w:t>6</w:t>
      </w:r>
      <w:r>
        <w:rPr>
          <w:rFonts w:hint="eastAsia" w:ascii="宋体" w:hAnsi="宋体" w:eastAsia="宋体" w:cs="宋体"/>
          <w:b/>
          <w:i/>
          <w:color w:val="auto"/>
          <w:sz w:val="21"/>
          <w:szCs w:val="21"/>
          <w:highlight w:val="none"/>
          <w:u w:val="single"/>
        </w:rPr>
        <w:t>年</w:t>
      </w:r>
      <w:r>
        <w:rPr>
          <w:rFonts w:hint="eastAsia" w:ascii="宋体" w:hAnsi="宋体" w:cs="宋体"/>
          <w:b/>
          <w:i/>
          <w:color w:val="auto"/>
          <w:sz w:val="21"/>
          <w:szCs w:val="21"/>
          <w:highlight w:val="none"/>
          <w:u w:val="single"/>
          <w:lang w:val="en-US" w:eastAsia="zh-CN"/>
        </w:rPr>
        <w:t>2</w:t>
      </w:r>
      <w:r>
        <w:rPr>
          <w:rFonts w:hint="eastAsia" w:ascii="宋体" w:hAnsi="宋体" w:eastAsia="宋体" w:cs="宋体"/>
          <w:b/>
          <w:i/>
          <w:color w:val="auto"/>
          <w:sz w:val="21"/>
          <w:szCs w:val="21"/>
          <w:highlight w:val="none"/>
          <w:u w:val="single"/>
        </w:rPr>
        <w:t>月至202</w:t>
      </w:r>
      <w:r>
        <w:rPr>
          <w:rFonts w:hint="eastAsia" w:ascii="宋体" w:hAnsi="宋体" w:eastAsia="宋体" w:cs="宋体"/>
          <w:b/>
          <w:i/>
          <w:color w:val="auto"/>
          <w:sz w:val="21"/>
          <w:szCs w:val="21"/>
          <w:highlight w:val="none"/>
          <w:u w:val="single"/>
          <w:lang w:val="en-US" w:eastAsia="zh-CN"/>
        </w:rPr>
        <w:t>6</w:t>
      </w:r>
      <w:r>
        <w:rPr>
          <w:rFonts w:hint="eastAsia" w:ascii="宋体" w:hAnsi="宋体" w:eastAsia="宋体" w:cs="宋体"/>
          <w:b/>
          <w:i/>
          <w:color w:val="auto"/>
          <w:sz w:val="21"/>
          <w:szCs w:val="21"/>
          <w:highlight w:val="none"/>
          <w:u w:val="single"/>
        </w:rPr>
        <w:t>年</w:t>
      </w:r>
      <w:r>
        <w:rPr>
          <w:rFonts w:hint="eastAsia" w:ascii="宋体" w:hAnsi="宋体" w:cs="宋体"/>
          <w:b/>
          <w:i/>
          <w:color w:val="auto"/>
          <w:sz w:val="21"/>
          <w:szCs w:val="21"/>
          <w:highlight w:val="none"/>
          <w:u w:val="single"/>
          <w:lang w:val="en-US" w:eastAsia="zh-CN"/>
        </w:rPr>
        <w:t>4</w:t>
      </w:r>
      <w:r>
        <w:rPr>
          <w:rFonts w:hint="eastAsia" w:ascii="宋体" w:hAnsi="宋体" w:eastAsia="宋体" w:cs="宋体"/>
          <w:b/>
          <w:i/>
          <w:color w:val="auto"/>
          <w:sz w:val="21"/>
          <w:szCs w:val="21"/>
          <w:highlight w:val="none"/>
          <w:u w:val="single"/>
        </w:rPr>
        <w:t>月</w:t>
      </w:r>
      <w:r>
        <w:rPr>
          <w:rFonts w:hint="eastAsia" w:ascii="宋体" w:hAnsi="宋体" w:eastAsia="宋体" w:cs="宋体"/>
          <w:b/>
          <w:bCs/>
          <w:i/>
          <w:iCs/>
          <w:color w:val="auto"/>
          <w:sz w:val="21"/>
          <w:szCs w:val="21"/>
          <w:highlight w:val="none"/>
          <w:u w:val="single"/>
          <w:lang w:eastAsia="zh-CN"/>
        </w:rPr>
        <w:t>）</w:t>
      </w:r>
      <w:r>
        <w:rPr>
          <w:rFonts w:hint="eastAsia" w:ascii="宋体" w:hAnsi="宋体" w:eastAsia="宋体" w:cs="宋体"/>
          <w:b/>
          <w:bCs/>
          <w:i/>
          <w:iCs/>
          <w:color w:val="auto"/>
          <w:sz w:val="21"/>
          <w:szCs w:val="21"/>
          <w:highlight w:val="none"/>
          <w:u w:val="single"/>
        </w:rPr>
        <w:t>内任意一个月</w:t>
      </w:r>
      <w:r>
        <w:rPr>
          <w:rFonts w:hint="eastAsia" w:ascii="宋体" w:hAnsi="宋体" w:eastAsia="宋体" w:cs="宋体"/>
          <w:b/>
          <w:i/>
          <w:color w:val="auto"/>
          <w:sz w:val="21"/>
          <w:szCs w:val="21"/>
          <w:highlight w:val="none"/>
          <w:u w:val="single"/>
        </w:rPr>
        <w:t>的社保证明</w:t>
      </w:r>
      <w:r>
        <w:rPr>
          <w:rFonts w:hint="eastAsia" w:ascii="宋体" w:hAnsi="宋体" w:eastAsia="宋体" w:cs="宋体"/>
          <w:b/>
          <w:i/>
          <w:color w:val="auto"/>
          <w:sz w:val="21"/>
          <w:szCs w:val="21"/>
          <w:highlight w:val="none"/>
          <w:u w:val="single"/>
          <w:lang w:eastAsia="zh-CN"/>
        </w:rPr>
        <w:t>（</w:t>
      </w:r>
      <w:r>
        <w:rPr>
          <w:rFonts w:hint="eastAsia" w:ascii="宋体" w:hAnsi="宋体" w:eastAsia="宋体" w:cs="宋体"/>
          <w:b/>
          <w:i/>
          <w:color w:val="auto"/>
          <w:sz w:val="21"/>
          <w:szCs w:val="21"/>
          <w:highlight w:val="none"/>
          <w:u w:val="single"/>
        </w:rPr>
        <w:t>复印件加盖供应商公章)</w:t>
      </w:r>
    </w:p>
    <w:p w14:paraId="4B456CE0">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bCs/>
          <w:i/>
          <w:iCs/>
          <w:color w:val="auto"/>
          <w:spacing w:val="-6"/>
          <w:sz w:val="21"/>
          <w:szCs w:val="21"/>
          <w:highlight w:val="none"/>
          <w:u w:val="single"/>
        </w:rPr>
      </w:pPr>
      <w:r>
        <w:rPr>
          <w:rFonts w:hint="eastAsia" w:ascii="宋体" w:hAnsi="宋体" w:eastAsia="宋体" w:cs="宋体"/>
          <w:i/>
          <w:color w:val="auto"/>
          <w:sz w:val="21"/>
          <w:szCs w:val="21"/>
          <w:highlight w:val="none"/>
          <w:u w:val="single"/>
        </w:rPr>
        <w:t>3.3 拟派项目总监无在手工程或项目总监在手工程符合扬建工（2014）8号文件的规定；项目总监不得同时在两个或者两个以上单</w:t>
      </w:r>
      <w:r>
        <w:rPr>
          <w:rFonts w:hint="eastAsia" w:ascii="宋体" w:hAnsi="宋体" w:eastAsia="宋体" w:cs="宋体"/>
          <w:i/>
          <w:iCs/>
          <w:color w:val="auto"/>
          <w:spacing w:val="-6"/>
          <w:sz w:val="21"/>
          <w:szCs w:val="21"/>
          <w:highlight w:val="none"/>
          <w:u w:val="single"/>
        </w:rPr>
        <w:t>位受聘或者执业：（1）同时在两个及以上单位签订劳动合同或交纳社会保险；（2）将本人执（职）业资格证书同时注册在两个及以上单位（</w:t>
      </w:r>
      <w:r>
        <w:rPr>
          <w:rFonts w:hint="eastAsia" w:ascii="宋体" w:hAnsi="宋体" w:eastAsia="宋体" w:cs="宋体"/>
          <w:b/>
          <w:i/>
          <w:iCs/>
          <w:color w:val="auto"/>
          <w:spacing w:val="-6"/>
          <w:sz w:val="21"/>
          <w:szCs w:val="21"/>
          <w:highlight w:val="none"/>
          <w:u w:val="single"/>
        </w:rPr>
        <w:t>提供</w:t>
      </w:r>
      <w:r>
        <w:rPr>
          <w:rFonts w:hint="eastAsia" w:ascii="宋体" w:hAnsi="宋体" w:eastAsia="宋体" w:cs="宋体"/>
          <w:b/>
          <w:bCs/>
          <w:i/>
          <w:color w:val="auto"/>
          <w:sz w:val="21"/>
          <w:szCs w:val="21"/>
          <w:highlight w:val="none"/>
          <w:u w:val="single"/>
        </w:rPr>
        <w:t>拟派项目总监无在手工程或在手工程情况符合扬建工（2014）8号文件规定的承诺原件</w:t>
      </w:r>
      <w:r>
        <w:rPr>
          <w:rFonts w:hint="eastAsia" w:ascii="宋体" w:hAnsi="宋体" w:eastAsia="宋体" w:cs="宋体"/>
          <w:b/>
          <w:bCs/>
          <w:i/>
          <w:iCs/>
          <w:color w:val="auto"/>
          <w:spacing w:val="-6"/>
          <w:sz w:val="21"/>
          <w:szCs w:val="21"/>
          <w:highlight w:val="none"/>
          <w:u w:val="single"/>
        </w:rPr>
        <w:t>）</w:t>
      </w:r>
    </w:p>
    <w:p w14:paraId="2AB5652B">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i/>
          <w:color w:val="auto"/>
          <w:sz w:val="21"/>
          <w:szCs w:val="21"/>
          <w:highlight w:val="none"/>
          <w:u w:val="single"/>
        </w:rPr>
      </w:pPr>
      <w:r>
        <w:rPr>
          <w:rFonts w:hint="eastAsia" w:ascii="宋体" w:hAnsi="宋体" w:eastAsia="宋体" w:cs="宋体"/>
          <w:i/>
          <w:color w:val="auto"/>
          <w:sz w:val="21"/>
          <w:szCs w:val="21"/>
          <w:highlight w:val="none"/>
          <w:u w:val="single"/>
        </w:rPr>
        <w:t>3.4拟派</w:t>
      </w:r>
      <w:r>
        <w:rPr>
          <w:rFonts w:hint="eastAsia" w:ascii="宋体" w:hAnsi="宋体" w:eastAsia="宋体" w:cs="宋体"/>
          <w:i/>
          <w:strike w:val="0"/>
          <w:color w:val="auto"/>
          <w:sz w:val="21"/>
          <w:szCs w:val="21"/>
          <w:highlight w:val="none"/>
          <w:u w:val="single"/>
        </w:rPr>
        <w:t>主</w:t>
      </w:r>
      <w:r>
        <w:rPr>
          <w:rFonts w:hint="eastAsia" w:ascii="宋体" w:hAnsi="宋体" w:eastAsia="宋体" w:cs="宋体"/>
          <w:i/>
          <w:color w:val="auto"/>
          <w:sz w:val="21"/>
          <w:szCs w:val="21"/>
          <w:highlight w:val="none"/>
          <w:u w:val="single"/>
        </w:rPr>
        <w:t>专业监理工程师1 人，为本公司正式员工，正常缴纳社会保险，专业要求：公路与城市道路工程、桥梁工程、交通工程、交通土建、土木工程（道路与桥梁方向）、公路施工与养护、道路交通管理工程、给水排水工程等相关或相近专业；注：国家注册监理工程师担任</w:t>
      </w:r>
      <w:r>
        <w:rPr>
          <w:rFonts w:hint="eastAsia" w:ascii="宋体" w:hAnsi="宋体" w:eastAsia="宋体" w:cs="宋体"/>
          <w:i/>
          <w:strike w:val="0"/>
          <w:color w:val="auto"/>
          <w:sz w:val="21"/>
          <w:szCs w:val="21"/>
          <w:highlight w:val="none"/>
          <w:u w:val="single"/>
        </w:rPr>
        <w:t>主</w:t>
      </w:r>
      <w:r>
        <w:rPr>
          <w:rFonts w:hint="eastAsia" w:ascii="宋体" w:hAnsi="宋体" w:eastAsia="宋体" w:cs="宋体"/>
          <w:i/>
          <w:color w:val="auto"/>
          <w:sz w:val="21"/>
          <w:szCs w:val="21"/>
          <w:highlight w:val="none"/>
          <w:u w:val="single"/>
        </w:rPr>
        <w:t>专业监理工程师的，其注册专业为</w:t>
      </w:r>
      <w:r>
        <w:rPr>
          <w:rFonts w:hint="eastAsia" w:ascii="宋体" w:hAnsi="宋体" w:eastAsia="宋体" w:cs="宋体"/>
          <w:i/>
          <w:color w:val="auto"/>
          <w:sz w:val="21"/>
          <w:szCs w:val="21"/>
          <w:highlight w:val="none"/>
          <w:u w:val="single"/>
          <w:lang w:val="en-US" w:eastAsia="zh-CN"/>
        </w:rPr>
        <w:t>市政公用</w:t>
      </w:r>
      <w:r>
        <w:rPr>
          <w:rFonts w:hint="eastAsia" w:ascii="宋体" w:hAnsi="宋体" w:eastAsia="宋体" w:cs="宋体"/>
          <w:i/>
          <w:color w:val="auto"/>
          <w:sz w:val="21"/>
          <w:szCs w:val="21"/>
          <w:highlight w:val="none"/>
          <w:u w:val="single"/>
        </w:rPr>
        <w:t>工程专业即可，无需提供学历专业；专业监理工程师及工程类其他注册执业资格人员担任主专业监理工程师的，专业认定以毕业证书所学专业为准。</w:t>
      </w:r>
      <w:r>
        <w:rPr>
          <w:rFonts w:hint="eastAsia" w:ascii="宋体" w:hAnsi="宋体" w:eastAsia="宋体" w:cs="宋体"/>
          <w:b/>
          <w:i/>
          <w:color w:val="auto"/>
          <w:sz w:val="21"/>
          <w:szCs w:val="21"/>
          <w:highlight w:val="none"/>
          <w:u w:val="single"/>
        </w:rPr>
        <w:t>(提供拟派</w:t>
      </w:r>
      <w:r>
        <w:rPr>
          <w:rFonts w:hint="eastAsia" w:ascii="宋体" w:hAnsi="宋体" w:eastAsia="宋体" w:cs="宋体"/>
          <w:b/>
          <w:i/>
          <w:strike w:val="0"/>
          <w:color w:val="auto"/>
          <w:sz w:val="21"/>
          <w:szCs w:val="21"/>
          <w:highlight w:val="none"/>
          <w:u w:val="single"/>
        </w:rPr>
        <w:t>主</w:t>
      </w:r>
      <w:r>
        <w:rPr>
          <w:rFonts w:hint="eastAsia" w:ascii="宋体" w:hAnsi="宋体" w:eastAsia="宋体" w:cs="宋体"/>
          <w:b/>
          <w:i/>
          <w:color w:val="auto"/>
          <w:sz w:val="21"/>
          <w:szCs w:val="21"/>
          <w:highlight w:val="none"/>
          <w:u w:val="single"/>
        </w:rPr>
        <w:t>专业监理工程师相关证书和供应商为其缴纳的</w:t>
      </w:r>
      <w:r>
        <w:rPr>
          <w:rFonts w:hint="eastAsia" w:ascii="宋体" w:hAnsi="宋体" w:eastAsia="宋体" w:cs="宋体"/>
          <w:b/>
          <w:bCs/>
          <w:i/>
          <w:iCs/>
          <w:color w:val="auto"/>
          <w:sz w:val="21"/>
          <w:szCs w:val="21"/>
          <w:highlight w:val="none"/>
          <w:u w:val="single"/>
          <w:lang w:val="en-US" w:eastAsia="zh-CN"/>
        </w:rPr>
        <w:t>近</w:t>
      </w:r>
      <w:r>
        <w:rPr>
          <w:rFonts w:hint="eastAsia" w:ascii="宋体" w:hAnsi="宋体" w:eastAsia="宋体" w:cs="宋体"/>
          <w:b/>
          <w:bCs/>
          <w:i/>
          <w:iCs/>
          <w:color w:val="auto"/>
          <w:sz w:val="21"/>
          <w:szCs w:val="21"/>
          <w:highlight w:val="none"/>
          <w:u w:val="single"/>
        </w:rPr>
        <w:t>三个月</w:t>
      </w:r>
      <w:r>
        <w:rPr>
          <w:rFonts w:hint="eastAsia" w:ascii="宋体" w:hAnsi="宋体" w:eastAsia="宋体" w:cs="宋体"/>
          <w:b/>
          <w:bCs/>
          <w:i/>
          <w:iCs/>
          <w:color w:val="auto"/>
          <w:sz w:val="21"/>
          <w:szCs w:val="21"/>
          <w:highlight w:val="none"/>
          <w:u w:val="single"/>
          <w:lang w:eastAsia="zh-CN"/>
        </w:rPr>
        <w:t>（</w:t>
      </w:r>
      <w:r>
        <w:rPr>
          <w:rFonts w:hint="eastAsia" w:ascii="宋体" w:hAnsi="宋体" w:eastAsia="宋体" w:cs="宋体"/>
          <w:b/>
          <w:i/>
          <w:color w:val="auto"/>
          <w:sz w:val="21"/>
          <w:szCs w:val="21"/>
          <w:highlight w:val="none"/>
          <w:u w:val="single"/>
        </w:rPr>
        <w:t>202</w:t>
      </w:r>
      <w:r>
        <w:rPr>
          <w:rFonts w:hint="eastAsia" w:ascii="宋体" w:hAnsi="宋体" w:eastAsia="宋体" w:cs="宋体"/>
          <w:b/>
          <w:i/>
          <w:color w:val="auto"/>
          <w:sz w:val="21"/>
          <w:szCs w:val="21"/>
          <w:highlight w:val="none"/>
          <w:u w:val="single"/>
          <w:lang w:val="en-US" w:eastAsia="zh-CN"/>
        </w:rPr>
        <w:t>6</w:t>
      </w:r>
      <w:r>
        <w:rPr>
          <w:rFonts w:hint="eastAsia" w:ascii="宋体" w:hAnsi="宋体" w:eastAsia="宋体" w:cs="宋体"/>
          <w:b/>
          <w:i/>
          <w:color w:val="auto"/>
          <w:sz w:val="21"/>
          <w:szCs w:val="21"/>
          <w:highlight w:val="none"/>
          <w:u w:val="single"/>
        </w:rPr>
        <w:t>年</w:t>
      </w:r>
      <w:r>
        <w:rPr>
          <w:rFonts w:hint="eastAsia" w:ascii="宋体" w:hAnsi="宋体" w:cs="宋体"/>
          <w:b/>
          <w:i/>
          <w:color w:val="auto"/>
          <w:sz w:val="21"/>
          <w:szCs w:val="21"/>
          <w:highlight w:val="none"/>
          <w:u w:val="single"/>
          <w:lang w:val="en-US" w:eastAsia="zh-CN"/>
        </w:rPr>
        <w:t>2</w:t>
      </w:r>
      <w:r>
        <w:rPr>
          <w:rFonts w:hint="eastAsia" w:ascii="宋体" w:hAnsi="宋体" w:eastAsia="宋体" w:cs="宋体"/>
          <w:b/>
          <w:i/>
          <w:color w:val="auto"/>
          <w:sz w:val="21"/>
          <w:szCs w:val="21"/>
          <w:highlight w:val="none"/>
          <w:u w:val="single"/>
        </w:rPr>
        <w:t>月至202</w:t>
      </w:r>
      <w:r>
        <w:rPr>
          <w:rFonts w:hint="eastAsia" w:ascii="宋体" w:hAnsi="宋体" w:eastAsia="宋体" w:cs="宋体"/>
          <w:b/>
          <w:i/>
          <w:color w:val="auto"/>
          <w:sz w:val="21"/>
          <w:szCs w:val="21"/>
          <w:highlight w:val="none"/>
          <w:u w:val="single"/>
          <w:lang w:val="en-US" w:eastAsia="zh-CN"/>
        </w:rPr>
        <w:t>6</w:t>
      </w:r>
      <w:r>
        <w:rPr>
          <w:rFonts w:hint="eastAsia" w:ascii="宋体" w:hAnsi="宋体" w:eastAsia="宋体" w:cs="宋体"/>
          <w:b/>
          <w:i/>
          <w:color w:val="auto"/>
          <w:sz w:val="21"/>
          <w:szCs w:val="21"/>
          <w:highlight w:val="none"/>
          <w:u w:val="single"/>
        </w:rPr>
        <w:t>年</w:t>
      </w:r>
      <w:r>
        <w:rPr>
          <w:rFonts w:hint="eastAsia" w:ascii="宋体" w:hAnsi="宋体" w:cs="宋体"/>
          <w:b/>
          <w:i/>
          <w:color w:val="auto"/>
          <w:sz w:val="21"/>
          <w:szCs w:val="21"/>
          <w:highlight w:val="none"/>
          <w:u w:val="single"/>
          <w:lang w:val="en-US" w:eastAsia="zh-CN"/>
        </w:rPr>
        <w:t>4</w:t>
      </w:r>
      <w:r>
        <w:rPr>
          <w:rFonts w:hint="eastAsia" w:ascii="宋体" w:hAnsi="宋体" w:eastAsia="宋体" w:cs="宋体"/>
          <w:b/>
          <w:i/>
          <w:color w:val="auto"/>
          <w:sz w:val="21"/>
          <w:szCs w:val="21"/>
          <w:highlight w:val="none"/>
          <w:u w:val="single"/>
        </w:rPr>
        <w:t>月</w:t>
      </w:r>
      <w:r>
        <w:rPr>
          <w:rFonts w:hint="eastAsia" w:ascii="宋体" w:hAnsi="宋体" w:eastAsia="宋体" w:cs="宋体"/>
          <w:b/>
          <w:bCs/>
          <w:i/>
          <w:iCs/>
          <w:color w:val="auto"/>
          <w:sz w:val="21"/>
          <w:szCs w:val="21"/>
          <w:highlight w:val="none"/>
          <w:u w:val="single"/>
          <w:lang w:eastAsia="zh-CN"/>
        </w:rPr>
        <w:t>）</w:t>
      </w:r>
      <w:r>
        <w:rPr>
          <w:rFonts w:hint="eastAsia" w:ascii="宋体" w:hAnsi="宋体" w:eastAsia="宋体" w:cs="宋体"/>
          <w:b/>
          <w:bCs/>
          <w:i/>
          <w:iCs/>
          <w:color w:val="auto"/>
          <w:sz w:val="21"/>
          <w:szCs w:val="21"/>
          <w:highlight w:val="none"/>
          <w:u w:val="single"/>
        </w:rPr>
        <w:t>内任意一个月</w:t>
      </w:r>
      <w:r>
        <w:rPr>
          <w:rFonts w:hint="eastAsia" w:ascii="宋体" w:hAnsi="宋体" w:eastAsia="宋体" w:cs="宋体"/>
          <w:b/>
          <w:i/>
          <w:color w:val="auto"/>
          <w:sz w:val="21"/>
          <w:szCs w:val="21"/>
          <w:highlight w:val="none"/>
          <w:u w:val="single"/>
        </w:rPr>
        <w:t>的社保证明</w:t>
      </w:r>
      <w:r>
        <w:rPr>
          <w:rFonts w:hint="eastAsia" w:ascii="宋体" w:hAnsi="宋体" w:eastAsia="宋体" w:cs="宋体"/>
          <w:b/>
          <w:i/>
          <w:color w:val="auto"/>
          <w:sz w:val="21"/>
          <w:szCs w:val="21"/>
          <w:highlight w:val="none"/>
          <w:u w:val="single"/>
          <w:lang w:eastAsia="zh-CN"/>
        </w:rPr>
        <w:t>（</w:t>
      </w:r>
      <w:r>
        <w:rPr>
          <w:rFonts w:hint="eastAsia" w:ascii="宋体" w:hAnsi="宋体" w:eastAsia="宋体" w:cs="宋体"/>
          <w:b/>
          <w:i/>
          <w:color w:val="auto"/>
          <w:sz w:val="21"/>
          <w:szCs w:val="21"/>
          <w:highlight w:val="none"/>
          <w:u w:val="single"/>
        </w:rPr>
        <w:t>复印件加盖供应商公章)</w:t>
      </w:r>
    </w:p>
    <w:p w14:paraId="310957A4">
      <w:pPr>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i/>
          <w:color w:val="auto"/>
          <w:sz w:val="21"/>
          <w:szCs w:val="21"/>
          <w:highlight w:val="none"/>
          <w:u w:val="single"/>
        </w:rPr>
        <w:t>3.5拟派监理员</w:t>
      </w:r>
      <w:r>
        <w:rPr>
          <w:rFonts w:hint="eastAsia" w:ascii="宋体" w:hAnsi="宋体" w:eastAsia="宋体" w:cs="宋体"/>
          <w:i/>
          <w:color w:val="auto"/>
          <w:sz w:val="21"/>
          <w:szCs w:val="21"/>
          <w:highlight w:val="none"/>
          <w:u w:val="single"/>
          <w:lang w:val="en-US" w:eastAsia="zh-CN"/>
        </w:rPr>
        <w:t>2</w:t>
      </w:r>
      <w:r>
        <w:rPr>
          <w:rFonts w:hint="eastAsia" w:ascii="宋体" w:hAnsi="宋体" w:eastAsia="宋体" w:cs="宋体"/>
          <w:i/>
          <w:color w:val="auto"/>
          <w:sz w:val="21"/>
          <w:szCs w:val="21"/>
          <w:highlight w:val="none"/>
          <w:u w:val="single"/>
        </w:rPr>
        <w:t>人，为本公司正式员工，正常缴纳社会保险。</w:t>
      </w:r>
      <w:r>
        <w:rPr>
          <w:rFonts w:hint="eastAsia" w:ascii="宋体" w:hAnsi="宋体" w:eastAsia="宋体" w:cs="宋体"/>
          <w:b/>
          <w:i/>
          <w:color w:val="auto"/>
          <w:sz w:val="21"/>
          <w:szCs w:val="21"/>
          <w:highlight w:val="none"/>
          <w:u w:val="single"/>
        </w:rPr>
        <w:t>(提供供应商为其缴纳的</w:t>
      </w:r>
      <w:r>
        <w:rPr>
          <w:rFonts w:hint="eastAsia" w:ascii="宋体" w:hAnsi="宋体" w:eastAsia="宋体" w:cs="宋体"/>
          <w:b/>
          <w:bCs/>
          <w:i/>
          <w:iCs/>
          <w:color w:val="auto"/>
          <w:sz w:val="21"/>
          <w:szCs w:val="21"/>
          <w:highlight w:val="none"/>
          <w:u w:val="single"/>
          <w:lang w:val="en-US" w:eastAsia="zh-CN"/>
        </w:rPr>
        <w:t>近</w:t>
      </w:r>
      <w:r>
        <w:rPr>
          <w:rFonts w:hint="eastAsia" w:ascii="宋体" w:hAnsi="宋体" w:eastAsia="宋体" w:cs="宋体"/>
          <w:b/>
          <w:bCs/>
          <w:i/>
          <w:iCs/>
          <w:color w:val="auto"/>
          <w:sz w:val="21"/>
          <w:szCs w:val="21"/>
          <w:highlight w:val="none"/>
          <w:u w:val="single"/>
        </w:rPr>
        <w:t>三个月</w:t>
      </w:r>
      <w:r>
        <w:rPr>
          <w:rFonts w:hint="eastAsia" w:ascii="宋体" w:hAnsi="宋体" w:eastAsia="宋体" w:cs="宋体"/>
          <w:b/>
          <w:bCs/>
          <w:i/>
          <w:iCs/>
          <w:color w:val="auto"/>
          <w:sz w:val="21"/>
          <w:szCs w:val="21"/>
          <w:highlight w:val="none"/>
          <w:u w:val="single"/>
          <w:lang w:eastAsia="zh-CN"/>
        </w:rPr>
        <w:t>（</w:t>
      </w:r>
      <w:r>
        <w:rPr>
          <w:rFonts w:hint="eastAsia" w:ascii="宋体" w:hAnsi="宋体" w:eastAsia="宋体" w:cs="宋体"/>
          <w:b/>
          <w:i/>
          <w:color w:val="auto"/>
          <w:sz w:val="21"/>
          <w:szCs w:val="21"/>
          <w:highlight w:val="none"/>
          <w:u w:val="single"/>
        </w:rPr>
        <w:t>202</w:t>
      </w:r>
      <w:r>
        <w:rPr>
          <w:rFonts w:hint="eastAsia" w:ascii="宋体" w:hAnsi="宋体" w:eastAsia="宋体" w:cs="宋体"/>
          <w:b/>
          <w:i/>
          <w:color w:val="auto"/>
          <w:sz w:val="21"/>
          <w:szCs w:val="21"/>
          <w:highlight w:val="none"/>
          <w:u w:val="single"/>
          <w:lang w:val="en-US" w:eastAsia="zh-CN"/>
        </w:rPr>
        <w:t>6</w:t>
      </w:r>
      <w:r>
        <w:rPr>
          <w:rFonts w:hint="eastAsia" w:ascii="宋体" w:hAnsi="宋体" w:eastAsia="宋体" w:cs="宋体"/>
          <w:b/>
          <w:i/>
          <w:color w:val="auto"/>
          <w:sz w:val="21"/>
          <w:szCs w:val="21"/>
          <w:highlight w:val="none"/>
          <w:u w:val="single"/>
        </w:rPr>
        <w:t>年</w:t>
      </w:r>
      <w:r>
        <w:rPr>
          <w:rFonts w:hint="eastAsia" w:ascii="宋体" w:hAnsi="宋体" w:cs="宋体"/>
          <w:b/>
          <w:i/>
          <w:color w:val="auto"/>
          <w:sz w:val="21"/>
          <w:szCs w:val="21"/>
          <w:highlight w:val="none"/>
          <w:u w:val="single"/>
          <w:lang w:val="en-US" w:eastAsia="zh-CN"/>
        </w:rPr>
        <w:t>2</w:t>
      </w:r>
      <w:r>
        <w:rPr>
          <w:rFonts w:hint="eastAsia" w:ascii="宋体" w:hAnsi="宋体" w:eastAsia="宋体" w:cs="宋体"/>
          <w:b/>
          <w:i/>
          <w:color w:val="auto"/>
          <w:sz w:val="21"/>
          <w:szCs w:val="21"/>
          <w:highlight w:val="none"/>
          <w:u w:val="single"/>
        </w:rPr>
        <w:t>月至202</w:t>
      </w:r>
      <w:r>
        <w:rPr>
          <w:rFonts w:hint="eastAsia" w:ascii="宋体" w:hAnsi="宋体" w:eastAsia="宋体" w:cs="宋体"/>
          <w:b/>
          <w:i/>
          <w:color w:val="auto"/>
          <w:sz w:val="21"/>
          <w:szCs w:val="21"/>
          <w:highlight w:val="none"/>
          <w:u w:val="single"/>
          <w:lang w:val="en-US" w:eastAsia="zh-CN"/>
        </w:rPr>
        <w:t>6</w:t>
      </w:r>
      <w:r>
        <w:rPr>
          <w:rFonts w:hint="eastAsia" w:ascii="宋体" w:hAnsi="宋体" w:eastAsia="宋体" w:cs="宋体"/>
          <w:b/>
          <w:i/>
          <w:color w:val="auto"/>
          <w:sz w:val="21"/>
          <w:szCs w:val="21"/>
          <w:highlight w:val="none"/>
          <w:u w:val="single"/>
        </w:rPr>
        <w:t>年</w:t>
      </w:r>
      <w:r>
        <w:rPr>
          <w:rFonts w:hint="eastAsia" w:ascii="宋体" w:hAnsi="宋体" w:cs="宋体"/>
          <w:b/>
          <w:i/>
          <w:color w:val="auto"/>
          <w:sz w:val="21"/>
          <w:szCs w:val="21"/>
          <w:highlight w:val="none"/>
          <w:u w:val="single"/>
          <w:lang w:val="en-US" w:eastAsia="zh-CN"/>
        </w:rPr>
        <w:t>4</w:t>
      </w:r>
      <w:r>
        <w:rPr>
          <w:rFonts w:hint="eastAsia" w:ascii="宋体" w:hAnsi="宋体" w:eastAsia="宋体" w:cs="宋体"/>
          <w:b/>
          <w:i/>
          <w:color w:val="auto"/>
          <w:sz w:val="21"/>
          <w:szCs w:val="21"/>
          <w:highlight w:val="none"/>
          <w:u w:val="single"/>
        </w:rPr>
        <w:t>月</w:t>
      </w:r>
      <w:r>
        <w:rPr>
          <w:rFonts w:hint="eastAsia" w:ascii="宋体" w:hAnsi="宋体" w:eastAsia="宋体" w:cs="宋体"/>
          <w:b/>
          <w:bCs/>
          <w:i/>
          <w:iCs/>
          <w:color w:val="auto"/>
          <w:sz w:val="21"/>
          <w:szCs w:val="21"/>
          <w:highlight w:val="none"/>
          <w:u w:val="single"/>
          <w:lang w:eastAsia="zh-CN"/>
        </w:rPr>
        <w:t>）</w:t>
      </w:r>
      <w:r>
        <w:rPr>
          <w:rFonts w:hint="eastAsia" w:ascii="宋体" w:hAnsi="宋体" w:eastAsia="宋体" w:cs="宋体"/>
          <w:b/>
          <w:bCs/>
          <w:i/>
          <w:iCs/>
          <w:color w:val="auto"/>
          <w:sz w:val="21"/>
          <w:szCs w:val="21"/>
          <w:highlight w:val="none"/>
          <w:u w:val="single"/>
        </w:rPr>
        <w:t>内任意一个月</w:t>
      </w:r>
      <w:r>
        <w:rPr>
          <w:rFonts w:hint="eastAsia" w:ascii="宋体" w:hAnsi="宋体" w:eastAsia="宋体" w:cs="宋体"/>
          <w:b/>
          <w:i/>
          <w:color w:val="auto"/>
          <w:sz w:val="21"/>
          <w:szCs w:val="21"/>
          <w:highlight w:val="none"/>
          <w:u w:val="single"/>
        </w:rPr>
        <w:t>的社保证明，复印件加盖供应商公章，原件备查)</w:t>
      </w:r>
    </w:p>
    <w:p w14:paraId="5C631133">
      <w:pPr>
        <w:keepNext w:val="0"/>
        <w:keepLines w:val="0"/>
        <w:pageBreakBefore w:val="0"/>
        <w:widowControl w:val="0"/>
        <w:kinsoku/>
        <w:wordWrap/>
        <w:overflowPunct/>
        <w:topLinePunct w:val="0"/>
        <w:autoSpaceDE/>
        <w:autoSpaceDN/>
        <w:bidi w:val="0"/>
        <w:adjustRightInd/>
        <w:spacing w:line="360" w:lineRule="auto"/>
        <w:ind w:firstLine="396" w:firstLineChars="200"/>
        <w:textAlignment w:val="auto"/>
        <w:rPr>
          <w:rFonts w:hint="eastAsia" w:ascii="宋体" w:hAnsi="宋体" w:eastAsia="宋体" w:cs="宋体"/>
          <w:b/>
          <w:i/>
          <w:iCs/>
          <w:color w:val="auto"/>
          <w:spacing w:val="-6"/>
          <w:sz w:val="21"/>
          <w:szCs w:val="21"/>
          <w:highlight w:val="none"/>
          <w:u w:val="single"/>
        </w:rPr>
      </w:pPr>
      <w:r>
        <w:rPr>
          <w:rFonts w:hint="eastAsia" w:ascii="宋体" w:hAnsi="宋体" w:eastAsia="宋体" w:cs="宋体"/>
          <w:i/>
          <w:iCs/>
          <w:color w:val="auto"/>
          <w:spacing w:val="-6"/>
          <w:sz w:val="21"/>
          <w:szCs w:val="21"/>
          <w:highlight w:val="none"/>
          <w:u w:val="single"/>
        </w:rPr>
        <w:t>3.6供应商为本项目授权委托人缴纳的</w:t>
      </w:r>
      <w:r>
        <w:rPr>
          <w:rFonts w:hint="eastAsia" w:ascii="宋体" w:hAnsi="宋体" w:eastAsia="宋体" w:cs="宋体"/>
          <w:b/>
          <w:bCs/>
          <w:i/>
          <w:iCs/>
          <w:color w:val="auto"/>
          <w:sz w:val="21"/>
          <w:szCs w:val="21"/>
          <w:highlight w:val="none"/>
          <w:u w:val="single"/>
          <w:lang w:val="en-US" w:eastAsia="zh-CN"/>
        </w:rPr>
        <w:t>近</w:t>
      </w:r>
      <w:r>
        <w:rPr>
          <w:rFonts w:hint="eastAsia" w:ascii="宋体" w:hAnsi="宋体" w:eastAsia="宋体" w:cs="宋体"/>
          <w:b/>
          <w:bCs/>
          <w:i/>
          <w:iCs/>
          <w:color w:val="auto"/>
          <w:sz w:val="21"/>
          <w:szCs w:val="21"/>
          <w:highlight w:val="none"/>
          <w:u w:val="single"/>
        </w:rPr>
        <w:t>三个月</w:t>
      </w:r>
      <w:r>
        <w:rPr>
          <w:rFonts w:hint="eastAsia" w:ascii="宋体" w:hAnsi="宋体" w:eastAsia="宋体" w:cs="宋体"/>
          <w:b/>
          <w:bCs/>
          <w:i/>
          <w:iCs/>
          <w:color w:val="auto"/>
          <w:sz w:val="21"/>
          <w:szCs w:val="21"/>
          <w:highlight w:val="none"/>
          <w:u w:val="single"/>
          <w:lang w:eastAsia="zh-CN"/>
        </w:rPr>
        <w:t>（</w:t>
      </w:r>
      <w:r>
        <w:rPr>
          <w:rFonts w:hint="eastAsia" w:ascii="宋体" w:hAnsi="宋体" w:eastAsia="宋体" w:cs="宋体"/>
          <w:b/>
          <w:i/>
          <w:color w:val="auto"/>
          <w:sz w:val="21"/>
          <w:szCs w:val="21"/>
          <w:highlight w:val="none"/>
          <w:u w:val="single"/>
        </w:rPr>
        <w:t>202</w:t>
      </w:r>
      <w:r>
        <w:rPr>
          <w:rFonts w:hint="eastAsia" w:ascii="宋体" w:hAnsi="宋体" w:eastAsia="宋体" w:cs="宋体"/>
          <w:b/>
          <w:i/>
          <w:color w:val="auto"/>
          <w:sz w:val="21"/>
          <w:szCs w:val="21"/>
          <w:highlight w:val="none"/>
          <w:u w:val="single"/>
          <w:lang w:val="en-US" w:eastAsia="zh-CN"/>
        </w:rPr>
        <w:t>6</w:t>
      </w:r>
      <w:r>
        <w:rPr>
          <w:rFonts w:hint="eastAsia" w:ascii="宋体" w:hAnsi="宋体" w:eastAsia="宋体" w:cs="宋体"/>
          <w:b/>
          <w:i/>
          <w:color w:val="auto"/>
          <w:sz w:val="21"/>
          <w:szCs w:val="21"/>
          <w:highlight w:val="none"/>
          <w:u w:val="single"/>
        </w:rPr>
        <w:t>年</w:t>
      </w:r>
      <w:r>
        <w:rPr>
          <w:rFonts w:hint="eastAsia" w:ascii="宋体" w:hAnsi="宋体" w:cs="宋体"/>
          <w:b/>
          <w:i/>
          <w:color w:val="auto"/>
          <w:sz w:val="21"/>
          <w:szCs w:val="21"/>
          <w:highlight w:val="none"/>
          <w:u w:val="single"/>
          <w:lang w:val="en-US" w:eastAsia="zh-CN"/>
        </w:rPr>
        <w:t>2</w:t>
      </w:r>
      <w:r>
        <w:rPr>
          <w:rFonts w:hint="eastAsia" w:ascii="宋体" w:hAnsi="宋体" w:eastAsia="宋体" w:cs="宋体"/>
          <w:b/>
          <w:i/>
          <w:color w:val="auto"/>
          <w:sz w:val="21"/>
          <w:szCs w:val="21"/>
          <w:highlight w:val="none"/>
          <w:u w:val="single"/>
        </w:rPr>
        <w:t>月至202</w:t>
      </w:r>
      <w:r>
        <w:rPr>
          <w:rFonts w:hint="eastAsia" w:ascii="宋体" w:hAnsi="宋体" w:eastAsia="宋体" w:cs="宋体"/>
          <w:b/>
          <w:i/>
          <w:color w:val="auto"/>
          <w:sz w:val="21"/>
          <w:szCs w:val="21"/>
          <w:highlight w:val="none"/>
          <w:u w:val="single"/>
          <w:lang w:val="en-US" w:eastAsia="zh-CN"/>
        </w:rPr>
        <w:t>6</w:t>
      </w:r>
      <w:r>
        <w:rPr>
          <w:rFonts w:hint="eastAsia" w:ascii="宋体" w:hAnsi="宋体" w:eastAsia="宋体" w:cs="宋体"/>
          <w:b/>
          <w:i/>
          <w:color w:val="auto"/>
          <w:sz w:val="21"/>
          <w:szCs w:val="21"/>
          <w:highlight w:val="none"/>
          <w:u w:val="single"/>
        </w:rPr>
        <w:t>年</w:t>
      </w:r>
      <w:r>
        <w:rPr>
          <w:rFonts w:hint="eastAsia" w:ascii="宋体" w:hAnsi="宋体" w:cs="宋体"/>
          <w:b/>
          <w:i/>
          <w:color w:val="auto"/>
          <w:sz w:val="21"/>
          <w:szCs w:val="21"/>
          <w:highlight w:val="none"/>
          <w:u w:val="single"/>
          <w:lang w:val="en-US" w:eastAsia="zh-CN"/>
        </w:rPr>
        <w:t>4</w:t>
      </w:r>
      <w:r>
        <w:rPr>
          <w:rFonts w:hint="eastAsia" w:ascii="宋体" w:hAnsi="宋体" w:eastAsia="宋体" w:cs="宋体"/>
          <w:b/>
          <w:i/>
          <w:color w:val="auto"/>
          <w:sz w:val="21"/>
          <w:szCs w:val="21"/>
          <w:highlight w:val="none"/>
          <w:u w:val="single"/>
        </w:rPr>
        <w:t>月</w:t>
      </w:r>
      <w:r>
        <w:rPr>
          <w:rFonts w:hint="eastAsia" w:ascii="宋体" w:hAnsi="宋体" w:eastAsia="宋体" w:cs="宋体"/>
          <w:b/>
          <w:bCs/>
          <w:i/>
          <w:iCs/>
          <w:color w:val="auto"/>
          <w:sz w:val="21"/>
          <w:szCs w:val="21"/>
          <w:highlight w:val="none"/>
          <w:u w:val="single"/>
          <w:lang w:eastAsia="zh-CN"/>
        </w:rPr>
        <w:t>）</w:t>
      </w:r>
      <w:r>
        <w:rPr>
          <w:rFonts w:hint="eastAsia" w:ascii="宋体" w:hAnsi="宋体" w:eastAsia="宋体" w:cs="宋体"/>
          <w:b/>
          <w:bCs/>
          <w:i/>
          <w:iCs/>
          <w:color w:val="auto"/>
          <w:sz w:val="21"/>
          <w:szCs w:val="21"/>
          <w:highlight w:val="none"/>
          <w:u w:val="single"/>
        </w:rPr>
        <w:t>内任意一个月</w:t>
      </w:r>
      <w:r>
        <w:rPr>
          <w:rFonts w:hint="eastAsia" w:ascii="宋体" w:hAnsi="宋体" w:eastAsia="宋体" w:cs="宋体"/>
          <w:i/>
          <w:iCs/>
          <w:color w:val="auto"/>
          <w:spacing w:val="-6"/>
          <w:sz w:val="21"/>
          <w:szCs w:val="21"/>
          <w:highlight w:val="none"/>
          <w:u w:val="single"/>
        </w:rPr>
        <w:t>的社保证明</w:t>
      </w:r>
      <w:r>
        <w:rPr>
          <w:rFonts w:hint="eastAsia" w:ascii="宋体" w:hAnsi="宋体" w:eastAsia="宋体" w:cs="宋体"/>
          <w:b/>
          <w:i/>
          <w:iCs/>
          <w:color w:val="auto"/>
          <w:spacing w:val="-6"/>
          <w:sz w:val="21"/>
          <w:szCs w:val="21"/>
          <w:highlight w:val="none"/>
          <w:u w:val="single"/>
        </w:rPr>
        <w:t>(复印件加盖供应商公章)</w:t>
      </w:r>
    </w:p>
    <w:p w14:paraId="363EADB7">
      <w:pPr>
        <w:pStyle w:val="6"/>
        <w:rPr>
          <w:rFonts w:hint="eastAsia" w:ascii="宋体" w:hAnsi="宋体" w:eastAsia="宋体" w:cs="宋体"/>
          <w:color w:val="auto"/>
          <w:highlight w:val="none"/>
        </w:rPr>
      </w:pPr>
    </w:p>
    <w:p w14:paraId="10413AA9">
      <w:pPr>
        <w:spacing w:line="360" w:lineRule="auto"/>
        <w:jc w:val="center"/>
        <w:rPr>
          <w:rFonts w:hint="eastAsia" w:ascii="宋体" w:hAnsi="宋体" w:eastAsia="宋体" w:cs="宋体"/>
          <w:b/>
          <w:color w:val="auto"/>
          <w:szCs w:val="21"/>
          <w:highlight w:val="none"/>
        </w:rPr>
      </w:pPr>
    </w:p>
    <w:p w14:paraId="0618C5D1">
      <w:pPr>
        <w:spacing w:line="360" w:lineRule="auto"/>
        <w:jc w:val="center"/>
        <w:rPr>
          <w:rFonts w:hint="eastAsia" w:ascii="宋体" w:hAnsi="宋体" w:eastAsia="宋体" w:cs="宋体"/>
          <w:b/>
          <w:color w:val="auto"/>
          <w:szCs w:val="21"/>
          <w:highlight w:val="none"/>
        </w:rPr>
      </w:pPr>
    </w:p>
    <w:p w14:paraId="65EA7B14">
      <w:pPr>
        <w:spacing w:line="360" w:lineRule="auto"/>
        <w:jc w:val="center"/>
        <w:rPr>
          <w:rFonts w:hint="eastAsia" w:ascii="宋体" w:hAnsi="宋体" w:eastAsia="宋体" w:cs="宋体"/>
          <w:b/>
          <w:color w:val="auto"/>
          <w:szCs w:val="21"/>
          <w:highlight w:val="none"/>
        </w:rPr>
      </w:pPr>
    </w:p>
    <w:p w14:paraId="76AAB665">
      <w:pPr>
        <w:spacing w:line="360" w:lineRule="auto"/>
        <w:jc w:val="center"/>
        <w:rPr>
          <w:rFonts w:hint="eastAsia" w:ascii="宋体" w:hAnsi="宋体" w:eastAsia="宋体" w:cs="宋体"/>
          <w:b/>
          <w:color w:val="auto"/>
          <w:szCs w:val="21"/>
          <w:highlight w:val="none"/>
        </w:rPr>
      </w:pPr>
    </w:p>
    <w:p w14:paraId="512F1C6E">
      <w:pPr>
        <w:spacing w:line="360" w:lineRule="auto"/>
        <w:jc w:val="center"/>
        <w:rPr>
          <w:rFonts w:hint="eastAsia" w:ascii="宋体" w:hAnsi="宋体" w:eastAsia="宋体" w:cs="宋体"/>
          <w:b/>
          <w:color w:val="auto"/>
          <w:szCs w:val="21"/>
          <w:highlight w:val="none"/>
        </w:rPr>
      </w:pPr>
    </w:p>
    <w:p w14:paraId="53A4486F">
      <w:pPr>
        <w:spacing w:line="360" w:lineRule="auto"/>
        <w:jc w:val="center"/>
        <w:rPr>
          <w:rFonts w:hint="eastAsia" w:ascii="宋体" w:hAnsi="宋体" w:eastAsia="宋体" w:cs="宋体"/>
          <w:b/>
          <w:color w:val="auto"/>
          <w:szCs w:val="21"/>
          <w:highlight w:val="none"/>
        </w:rPr>
      </w:pPr>
    </w:p>
    <w:p w14:paraId="0244D33D">
      <w:pPr>
        <w:spacing w:line="360" w:lineRule="auto"/>
        <w:jc w:val="center"/>
        <w:rPr>
          <w:rFonts w:hint="eastAsia" w:ascii="宋体" w:hAnsi="宋体" w:eastAsia="宋体" w:cs="宋体"/>
          <w:b/>
          <w:color w:val="auto"/>
          <w:szCs w:val="21"/>
          <w:highlight w:val="none"/>
        </w:rPr>
      </w:pPr>
    </w:p>
    <w:p w14:paraId="5A4B3204">
      <w:pPr>
        <w:spacing w:line="360" w:lineRule="auto"/>
        <w:jc w:val="center"/>
        <w:rPr>
          <w:rFonts w:hint="eastAsia" w:ascii="宋体" w:hAnsi="宋体" w:eastAsia="宋体" w:cs="宋体"/>
          <w:b/>
          <w:color w:val="auto"/>
          <w:szCs w:val="21"/>
          <w:highlight w:val="none"/>
        </w:rPr>
      </w:pPr>
    </w:p>
    <w:p w14:paraId="00AC6BC3">
      <w:pPr>
        <w:spacing w:line="360" w:lineRule="auto"/>
        <w:jc w:val="center"/>
        <w:rPr>
          <w:rFonts w:hint="eastAsia" w:ascii="宋体" w:hAnsi="宋体" w:eastAsia="宋体" w:cs="宋体"/>
          <w:b/>
          <w:color w:val="auto"/>
          <w:szCs w:val="21"/>
          <w:highlight w:val="none"/>
        </w:rPr>
      </w:pPr>
    </w:p>
    <w:p w14:paraId="103AF6EF">
      <w:pPr>
        <w:spacing w:line="360" w:lineRule="auto"/>
        <w:jc w:val="both"/>
        <w:rPr>
          <w:rFonts w:hint="eastAsia" w:ascii="宋体" w:hAnsi="宋体" w:eastAsia="宋体" w:cs="宋体"/>
          <w:b/>
          <w:color w:val="auto"/>
          <w:szCs w:val="21"/>
          <w:highlight w:val="none"/>
        </w:rPr>
      </w:pPr>
    </w:p>
    <w:p w14:paraId="57749F0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磋商响应函</w:t>
      </w:r>
    </w:p>
    <w:p w14:paraId="368DED1B">
      <w:pPr>
        <w:pStyle w:val="64"/>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致：江苏汇诚投资咨询管理有限公司</w:t>
      </w:r>
    </w:p>
    <w:p w14:paraId="17C24CAA">
      <w:pPr>
        <w:pStyle w:val="64"/>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根据贵方的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项目编号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（项目名称）磋商文件，正式授权下述签字人_________ (姓名和职务)代表我方______________（供应商的名称），全权处理本次项目磋商采购的有关事宜。</w:t>
      </w:r>
    </w:p>
    <w:p w14:paraId="3E4D43BA">
      <w:pPr>
        <w:pStyle w:val="64"/>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据此函，__________（签字人）兹宣布同意如下：</w:t>
      </w:r>
    </w:p>
    <w:p w14:paraId="1BC4ACD6">
      <w:pPr>
        <w:pStyle w:val="64"/>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1.按磋商文件规定的各项要求，向买方提供所需服务。</w:t>
      </w:r>
    </w:p>
    <w:p w14:paraId="41EF8332">
      <w:pPr>
        <w:pStyle w:val="64"/>
        <w:spacing w:line="360" w:lineRule="auto"/>
        <w:ind w:firstLine="396"/>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2.我们已详细审核全部磋商文件及其有效补充文件，我们知道必须放弃提出含糊不清或误解问题的权利。</w:t>
      </w:r>
    </w:p>
    <w:p w14:paraId="06EBCEE8">
      <w:pPr>
        <w:pStyle w:val="64"/>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3.我们同意从规定的响应文件接收截止时间起遵循本响应文件，并在规定的磋商有效期期满之前均具有约束力。</w:t>
      </w:r>
    </w:p>
    <w:p w14:paraId="1199A723">
      <w:pPr>
        <w:pStyle w:val="64"/>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4.同意向贵方提供贵方可能另外要求的与磋商采购有关的任何证据或资料，并保证我方已提供和将要提供的文件是真实的、准确的。</w:t>
      </w:r>
    </w:p>
    <w:p w14:paraId="6530E326">
      <w:pPr>
        <w:pStyle w:val="64"/>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5.一旦我方成交，我方将根据磋商文件的规定，严格履行合同的责任和义务，并保证在磋商文件规定的时间完成项目，交付买方验收、使用。</w:t>
      </w:r>
    </w:p>
    <w:p w14:paraId="7ADBA6C7">
      <w:pPr>
        <w:pStyle w:val="64"/>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6.遵守磋商文件中要求的收费项目和标准。</w:t>
      </w:r>
    </w:p>
    <w:p w14:paraId="00D740FD">
      <w:pPr>
        <w:pStyle w:val="64"/>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7.与本磋商采购有关的正式通讯地址为：</w:t>
      </w:r>
    </w:p>
    <w:p w14:paraId="67F7D1B1">
      <w:pPr>
        <w:pStyle w:val="64"/>
        <w:spacing w:line="360" w:lineRule="auto"/>
        <w:ind w:firstLine="420"/>
        <w:rPr>
          <w:rFonts w:hint="eastAsia" w:ascii="宋体" w:hAnsi="宋体" w:eastAsia="宋体" w:cs="宋体"/>
          <w:color w:val="auto"/>
          <w:sz w:val="21"/>
          <w:szCs w:val="21"/>
          <w:highlight w:val="none"/>
        </w:rPr>
      </w:pPr>
    </w:p>
    <w:p w14:paraId="03BAA15D">
      <w:pPr>
        <w:pStyle w:val="64"/>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                         邮 编：</w:t>
      </w:r>
    </w:p>
    <w:p w14:paraId="59AE2C42">
      <w:pPr>
        <w:pStyle w:val="64"/>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                         传 真：</w:t>
      </w:r>
    </w:p>
    <w:p w14:paraId="24D89ADF">
      <w:pPr>
        <w:pStyle w:val="64"/>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供应商开户行：                  账 户： </w:t>
      </w:r>
    </w:p>
    <w:p w14:paraId="3C60947A">
      <w:pPr>
        <w:pStyle w:val="64"/>
        <w:spacing w:line="360" w:lineRule="auto"/>
        <w:ind w:firstLine="420"/>
        <w:rPr>
          <w:rFonts w:hint="eastAsia" w:ascii="宋体" w:hAnsi="宋体" w:eastAsia="宋体" w:cs="宋体"/>
          <w:color w:val="auto"/>
          <w:sz w:val="21"/>
          <w:szCs w:val="21"/>
          <w:highlight w:val="none"/>
        </w:rPr>
      </w:pPr>
    </w:p>
    <w:p w14:paraId="48F3DC80">
      <w:pPr>
        <w:pStyle w:val="64"/>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法定代表人或授权代表姓名（签字）：     联系电话：</w:t>
      </w:r>
    </w:p>
    <w:p w14:paraId="54FA0550">
      <w:pPr>
        <w:pStyle w:val="64"/>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供应商名称（公章）：            </w:t>
      </w:r>
    </w:p>
    <w:p w14:paraId="12447013">
      <w:pPr>
        <w:pStyle w:val="64"/>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期：________年____月____日</w:t>
      </w:r>
    </w:p>
    <w:p w14:paraId="1075CD55">
      <w:pPr>
        <w:pStyle w:val="7"/>
        <w:rPr>
          <w:rFonts w:hint="eastAsia" w:ascii="宋体" w:hAnsi="宋体" w:eastAsia="宋体" w:cs="宋体"/>
          <w:color w:val="auto"/>
          <w:highlight w:val="none"/>
        </w:rPr>
      </w:pPr>
    </w:p>
    <w:p w14:paraId="26CEA856">
      <w:pPr>
        <w:spacing w:line="360" w:lineRule="auto"/>
        <w:ind w:firstLine="422" w:firstLineChars="200"/>
        <w:jc w:val="center"/>
        <w:rPr>
          <w:rFonts w:hint="eastAsia" w:ascii="宋体" w:hAnsi="宋体" w:eastAsia="宋体" w:cs="宋体"/>
          <w:b/>
          <w:bCs/>
          <w:color w:val="auto"/>
          <w:szCs w:val="21"/>
          <w:highlight w:val="none"/>
        </w:rPr>
      </w:pPr>
    </w:p>
    <w:p w14:paraId="454B3173">
      <w:pPr>
        <w:spacing w:line="360" w:lineRule="auto"/>
        <w:ind w:firstLine="422" w:firstLineChars="200"/>
        <w:jc w:val="center"/>
        <w:rPr>
          <w:rFonts w:hint="eastAsia" w:ascii="宋体" w:hAnsi="宋体" w:eastAsia="宋体" w:cs="宋体"/>
          <w:b/>
          <w:bCs/>
          <w:color w:val="auto"/>
          <w:szCs w:val="21"/>
          <w:highlight w:val="none"/>
        </w:rPr>
      </w:pPr>
    </w:p>
    <w:p w14:paraId="13A2B47B">
      <w:pPr>
        <w:spacing w:line="360" w:lineRule="auto"/>
        <w:ind w:firstLine="422" w:firstLineChars="200"/>
        <w:jc w:val="center"/>
        <w:rPr>
          <w:rFonts w:hint="eastAsia" w:ascii="宋体" w:hAnsi="宋体" w:eastAsia="宋体" w:cs="宋体"/>
          <w:b/>
          <w:bCs/>
          <w:color w:val="auto"/>
          <w:szCs w:val="21"/>
          <w:highlight w:val="none"/>
        </w:rPr>
      </w:pPr>
    </w:p>
    <w:p w14:paraId="60B4E1F8">
      <w:pPr>
        <w:spacing w:line="360" w:lineRule="auto"/>
        <w:ind w:firstLine="422" w:firstLineChars="200"/>
        <w:jc w:val="center"/>
        <w:rPr>
          <w:rFonts w:hint="eastAsia" w:ascii="宋体" w:hAnsi="宋体" w:eastAsia="宋体" w:cs="宋体"/>
          <w:b/>
          <w:bCs/>
          <w:color w:val="auto"/>
          <w:szCs w:val="21"/>
          <w:highlight w:val="none"/>
        </w:rPr>
      </w:pPr>
    </w:p>
    <w:p w14:paraId="73964A7B">
      <w:pPr>
        <w:spacing w:line="360" w:lineRule="auto"/>
        <w:jc w:val="both"/>
        <w:rPr>
          <w:rFonts w:hint="eastAsia" w:ascii="宋体" w:hAnsi="宋体" w:eastAsia="宋体" w:cs="宋体"/>
          <w:b/>
          <w:bCs/>
          <w:color w:val="auto"/>
          <w:szCs w:val="21"/>
          <w:highlight w:val="none"/>
        </w:rPr>
      </w:pPr>
    </w:p>
    <w:p w14:paraId="4F31D852">
      <w:pPr>
        <w:spacing w:line="360" w:lineRule="auto"/>
        <w:ind w:firstLine="422" w:firstLineChars="20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资 格 声 明</w:t>
      </w:r>
    </w:p>
    <w:p w14:paraId="3EC8E527">
      <w:pPr>
        <w:spacing w:line="360" w:lineRule="auto"/>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1、名称及其它情况：</w:t>
      </w:r>
    </w:p>
    <w:p w14:paraId="72E0627E">
      <w:pPr>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（1）供应商名称：</w:t>
      </w:r>
      <w:r>
        <w:rPr>
          <w:rFonts w:hint="eastAsia" w:ascii="宋体" w:hAnsi="宋体" w:eastAsia="宋体" w:cs="宋体"/>
          <w:color w:val="auto"/>
          <w:szCs w:val="21"/>
          <w:highlight w:val="none"/>
          <w:u w:val="single"/>
        </w:rPr>
        <w:t xml:space="preserve">                            </w:t>
      </w:r>
    </w:p>
    <w:p w14:paraId="7FEDF424">
      <w:pPr>
        <w:tabs>
          <w:tab w:val="left" w:pos="4530"/>
        </w:tabs>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0614D291">
      <w:pPr>
        <w:tabs>
          <w:tab w:val="left" w:pos="600"/>
          <w:tab w:val="left" w:pos="432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传真：</w:t>
      </w:r>
      <w:r>
        <w:rPr>
          <w:rFonts w:hint="eastAsia" w:ascii="宋体" w:hAnsi="宋体" w:eastAsia="宋体" w:cs="宋体"/>
          <w:color w:val="auto"/>
          <w:szCs w:val="21"/>
          <w:highlight w:val="none"/>
          <w:u w:val="single"/>
        </w:rPr>
        <w:t xml:space="preserve">                  </w:t>
      </w:r>
    </w:p>
    <w:p w14:paraId="5BA8300A">
      <w:pPr>
        <w:spacing w:line="360" w:lineRule="auto"/>
        <w:ind w:firstLine="315" w:firstLineChars="1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（3）成立和/或注册日期：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1F046F8">
      <w:pPr>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（4）法定代表人：</w:t>
      </w:r>
      <w:r>
        <w:rPr>
          <w:rFonts w:hint="eastAsia" w:ascii="宋体" w:hAnsi="宋体" w:eastAsia="宋体" w:cs="宋体"/>
          <w:color w:val="auto"/>
          <w:szCs w:val="21"/>
          <w:highlight w:val="none"/>
          <w:u w:val="single"/>
        </w:rPr>
        <w:t xml:space="preserve">                    </w:t>
      </w:r>
    </w:p>
    <w:p w14:paraId="0DA7392F">
      <w:pPr>
        <w:spacing w:line="360" w:lineRule="auto"/>
        <w:ind w:firstLine="315" w:firstLineChars="1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（5）实收资本：</w:t>
      </w:r>
      <w:r>
        <w:rPr>
          <w:rFonts w:hint="eastAsia" w:ascii="宋体" w:hAnsi="宋体" w:eastAsia="宋体" w:cs="宋体"/>
          <w:color w:val="auto"/>
          <w:szCs w:val="21"/>
          <w:highlight w:val="none"/>
          <w:u w:val="single"/>
        </w:rPr>
        <w:t xml:space="preserve">                                 </w:t>
      </w:r>
    </w:p>
    <w:p w14:paraId="631495ED">
      <w:pPr>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（6）近期资产负债表：（到</w:t>
      </w:r>
      <w:r>
        <w:rPr>
          <w:rFonts w:hint="eastAsia" w:ascii="宋体" w:hAnsi="宋体" w:eastAsia="宋体" w:cs="宋体"/>
          <w:color w:val="auto"/>
          <w:szCs w:val="21"/>
          <w:highlight w:val="none"/>
          <w:u w:val="single"/>
        </w:rPr>
        <w:t>20  年12月31日</w:t>
      </w:r>
      <w:r>
        <w:rPr>
          <w:rFonts w:hint="eastAsia" w:ascii="宋体" w:hAnsi="宋体" w:eastAsia="宋体" w:cs="宋体"/>
          <w:color w:val="auto"/>
          <w:szCs w:val="21"/>
          <w:highlight w:val="none"/>
        </w:rPr>
        <w:t>）</w:t>
      </w:r>
    </w:p>
    <w:p w14:paraId="594411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&lt;1&gt; 固定资产：</w:t>
      </w:r>
      <w:r>
        <w:rPr>
          <w:rFonts w:hint="eastAsia" w:ascii="宋体" w:hAnsi="宋体" w:eastAsia="宋体" w:cs="宋体"/>
          <w:color w:val="auto"/>
          <w:szCs w:val="21"/>
          <w:highlight w:val="none"/>
          <w:u w:val="single"/>
        </w:rPr>
        <w:t xml:space="preserve">                          </w:t>
      </w:r>
    </w:p>
    <w:p w14:paraId="4CCD1F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&lt;2&gt; 流动资金：</w:t>
      </w:r>
      <w:r>
        <w:rPr>
          <w:rFonts w:hint="eastAsia" w:ascii="宋体" w:hAnsi="宋体" w:eastAsia="宋体" w:cs="宋体"/>
          <w:color w:val="auto"/>
          <w:szCs w:val="21"/>
          <w:highlight w:val="none"/>
          <w:u w:val="single"/>
        </w:rPr>
        <w:t xml:space="preserve">                          </w:t>
      </w:r>
    </w:p>
    <w:p w14:paraId="5FB9EA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&lt;3&gt; 长期负债：</w:t>
      </w:r>
      <w:r>
        <w:rPr>
          <w:rFonts w:hint="eastAsia" w:ascii="宋体" w:hAnsi="宋体" w:eastAsia="宋体" w:cs="宋体"/>
          <w:color w:val="auto"/>
          <w:szCs w:val="21"/>
          <w:highlight w:val="none"/>
          <w:u w:val="single"/>
        </w:rPr>
        <w:t xml:space="preserve">                          </w:t>
      </w:r>
    </w:p>
    <w:p w14:paraId="792E79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&lt;4&gt; 短期负债：</w:t>
      </w:r>
      <w:r>
        <w:rPr>
          <w:rFonts w:hint="eastAsia" w:ascii="宋体" w:hAnsi="宋体" w:eastAsia="宋体" w:cs="宋体"/>
          <w:color w:val="auto"/>
          <w:szCs w:val="21"/>
          <w:highlight w:val="none"/>
          <w:u w:val="single"/>
        </w:rPr>
        <w:t xml:space="preserve">                          </w:t>
      </w:r>
    </w:p>
    <w:p w14:paraId="7691B465">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2、近三年同类货物和服务的主要销售业绩（无有效联系人、联系方式和合同复印件的视为未填报本项目）：</w:t>
      </w:r>
    </w:p>
    <w:tbl>
      <w:tblPr>
        <w:tblStyle w:val="33"/>
        <w:tblW w:w="0" w:type="auto"/>
        <w:tblInd w:w="0" w:type="dxa"/>
        <w:tblLayout w:type="fixed"/>
        <w:tblCellMar>
          <w:top w:w="0" w:type="dxa"/>
          <w:left w:w="108" w:type="dxa"/>
          <w:bottom w:w="0" w:type="dxa"/>
          <w:right w:w="108" w:type="dxa"/>
        </w:tblCellMar>
      </w:tblPr>
      <w:tblGrid>
        <w:gridCol w:w="4271"/>
        <w:gridCol w:w="4251"/>
      </w:tblGrid>
      <w:tr w14:paraId="3C3EFB37">
        <w:tblPrEx>
          <w:tblCellMar>
            <w:top w:w="0" w:type="dxa"/>
            <w:left w:w="108" w:type="dxa"/>
            <w:bottom w:w="0" w:type="dxa"/>
            <w:right w:w="108" w:type="dxa"/>
          </w:tblCellMar>
        </w:tblPrEx>
        <w:tc>
          <w:tcPr>
            <w:tcW w:w="4271" w:type="dxa"/>
          </w:tcPr>
          <w:p w14:paraId="01A18609">
            <w:pPr>
              <w:spacing w:line="400" w:lineRule="exact"/>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甲方名称、联系人、联系方式</w:t>
            </w:r>
          </w:p>
        </w:tc>
        <w:tc>
          <w:tcPr>
            <w:tcW w:w="4251" w:type="dxa"/>
          </w:tcPr>
          <w:p w14:paraId="111E1D17">
            <w:pPr>
              <w:spacing w:line="400" w:lineRule="exact"/>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项   目   名   称</w:t>
            </w:r>
          </w:p>
        </w:tc>
      </w:tr>
      <w:tr w14:paraId="6E81712F">
        <w:tblPrEx>
          <w:tblCellMar>
            <w:top w:w="0" w:type="dxa"/>
            <w:left w:w="108" w:type="dxa"/>
            <w:bottom w:w="0" w:type="dxa"/>
            <w:right w:w="108" w:type="dxa"/>
          </w:tblCellMar>
        </w:tblPrEx>
        <w:tc>
          <w:tcPr>
            <w:tcW w:w="4271" w:type="dxa"/>
          </w:tcPr>
          <w:p w14:paraId="1F386F9C">
            <w:pPr>
              <w:spacing w:line="400" w:lineRule="exact"/>
              <w:rPr>
                <w:rFonts w:hint="eastAsia" w:ascii="宋体" w:hAnsi="宋体" w:eastAsia="宋体" w:cs="宋体"/>
                <w:color w:val="auto"/>
                <w:szCs w:val="21"/>
                <w:highlight w:val="none"/>
              </w:rPr>
            </w:pPr>
          </w:p>
        </w:tc>
        <w:tc>
          <w:tcPr>
            <w:tcW w:w="4251" w:type="dxa"/>
          </w:tcPr>
          <w:p w14:paraId="3DC9BA14">
            <w:pPr>
              <w:spacing w:line="400" w:lineRule="exact"/>
              <w:rPr>
                <w:rFonts w:hint="eastAsia" w:ascii="宋体" w:hAnsi="宋体" w:eastAsia="宋体" w:cs="宋体"/>
                <w:color w:val="auto"/>
                <w:szCs w:val="21"/>
                <w:highlight w:val="none"/>
              </w:rPr>
            </w:pPr>
          </w:p>
        </w:tc>
      </w:tr>
      <w:tr w14:paraId="6DF65526">
        <w:tblPrEx>
          <w:tblCellMar>
            <w:top w:w="0" w:type="dxa"/>
            <w:left w:w="108" w:type="dxa"/>
            <w:bottom w:w="0" w:type="dxa"/>
            <w:right w:w="108" w:type="dxa"/>
          </w:tblCellMar>
        </w:tblPrEx>
        <w:tc>
          <w:tcPr>
            <w:tcW w:w="4271" w:type="dxa"/>
          </w:tcPr>
          <w:p w14:paraId="2E9A7E7C">
            <w:pPr>
              <w:spacing w:line="360" w:lineRule="auto"/>
              <w:rPr>
                <w:rFonts w:hint="eastAsia" w:ascii="宋体" w:hAnsi="宋体" w:eastAsia="宋体" w:cs="宋体"/>
                <w:color w:val="auto"/>
                <w:szCs w:val="21"/>
                <w:highlight w:val="none"/>
              </w:rPr>
            </w:pPr>
          </w:p>
        </w:tc>
        <w:tc>
          <w:tcPr>
            <w:tcW w:w="4251" w:type="dxa"/>
          </w:tcPr>
          <w:p w14:paraId="1D532592">
            <w:pPr>
              <w:spacing w:line="360" w:lineRule="auto"/>
              <w:rPr>
                <w:rFonts w:hint="eastAsia" w:ascii="宋体" w:hAnsi="宋体" w:eastAsia="宋体" w:cs="宋体"/>
                <w:color w:val="auto"/>
                <w:szCs w:val="21"/>
                <w:highlight w:val="none"/>
              </w:rPr>
            </w:pPr>
          </w:p>
        </w:tc>
      </w:tr>
    </w:tbl>
    <w:p w14:paraId="0D7CA208">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3、近三年的营业额： </w:t>
      </w:r>
    </w:p>
    <w:tbl>
      <w:tblPr>
        <w:tblStyle w:val="33"/>
        <w:tblW w:w="0" w:type="auto"/>
        <w:tblInd w:w="0" w:type="dxa"/>
        <w:tblLayout w:type="fixed"/>
        <w:tblCellMar>
          <w:top w:w="0" w:type="dxa"/>
          <w:left w:w="108" w:type="dxa"/>
          <w:bottom w:w="0" w:type="dxa"/>
          <w:right w:w="108" w:type="dxa"/>
        </w:tblCellMar>
      </w:tblPr>
      <w:tblGrid>
        <w:gridCol w:w="2112"/>
        <w:gridCol w:w="2137"/>
        <w:gridCol w:w="2136"/>
        <w:gridCol w:w="2137"/>
      </w:tblGrid>
      <w:tr w14:paraId="76BDD924">
        <w:tblPrEx>
          <w:tblCellMar>
            <w:top w:w="0" w:type="dxa"/>
            <w:left w:w="108" w:type="dxa"/>
            <w:bottom w:w="0" w:type="dxa"/>
            <w:right w:w="108" w:type="dxa"/>
          </w:tblCellMar>
        </w:tblPrEx>
        <w:tc>
          <w:tcPr>
            <w:tcW w:w="2112" w:type="dxa"/>
          </w:tcPr>
          <w:p w14:paraId="2722020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份</w:t>
            </w:r>
          </w:p>
        </w:tc>
        <w:tc>
          <w:tcPr>
            <w:tcW w:w="2137" w:type="dxa"/>
          </w:tcPr>
          <w:p w14:paraId="2561A82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国    内（万元）</w:t>
            </w:r>
          </w:p>
        </w:tc>
        <w:tc>
          <w:tcPr>
            <w:tcW w:w="2136" w:type="dxa"/>
          </w:tcPr>
          <w:p w14:paraId="5C011CC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出    口（万元）</w:t>
            </w:r>
          </w:p>
        </w:tc>
        <w:tc>
          <w:tcPr>
            <w:tcW w:w="2137" w:type="dxa"/>
          </w:tcPr>
          <w:p w14:paraId="31EB800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    额（万元）</w:t>
            </w:r>
          </w:p>
        </w:tc>
      </w:tr>
      <w:tr w14:paraId="7C9A9430">
        <w:tblPrEx>
          <w:tblCellMar>
            <w:top w:w="0" w:type="dxa"/>
            <w:left w:w="108" w:type="dxa"/>
            <w:bottom w:w="0" w:type="dxa"/>
            <w:right w:w="108" w:type="dxa"/>
          </w:tblCellMar>
        </w:tblPrEx>
        <w:tc>
          <w:tcPr>
            <w:tcW w:w="2112" w:type="dxa"/>
          </w:tcPr>
          <w:p w14:paraId="67BF5B6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w:t>
            </w:r>
          </w:p>
        </w:tc>
        <w:tc>
          <w:tcPr>
            <w:tcW w:w="2137" w:type="dxa"/>
          </w:tcPr>
          <w:p w14:paraId="3C2D4F57">
            <w:pPr>
              <w:spacing w:line="360" w:lineRule="auto"/>
              <w:rPr>
                <w:rFonts w:hint="eastAsia" w:ascii="宋体" w:hAnsi="宋体" w:eastAsia="宋体" w:cs="宋体"/>
                <w:color w:val="auto"/>
                <w:szCs w:val="21"/>
                <w:highlight w:val="none"/>
              </w:rPr>
            </w:pPr>
          </w:p>
        </w:tc>
        <w:tc>
          <w:tcPr>
            <w:tcW w:w="2136" w:type="dxa"/>
          </w:tcPr>
          <w:p w14:paraId="6416399C">
            <w:pPr>
              <w:spacing w:line="360" w:lineRule="auto"/>
              <w:rPr>
                <w:rFonts w:hint="eastAsia" w:ascii="宋体" w:hAnsi="宋体" w:eastAsia="宋体" w:cs="宋体"/>
                <w:color w:val="auto"/>
                <w:szCs w:val="21"/>
                <w:highlight w:val="none"/>
              </w:rPr>
            </w:pPr>
          </w:p>
        </w:tc>
        <w:tc>
          <w:tcPr>
            <w:tcW w:w="2137" w:type="dxa"/>
          </w:tcPr>
          <w:p w14:paraId="4C51400E">
            <w:pPr>
              <w:spacing w:line="360" w:lineRule="auto"/>
              <w:rPr>
                <w:rFonts w:hint="eastAsia" w:ascii="宋体" w:hAnsi="宋体" w:eastAsia="宋体" w:cs="宋体"/>
                <w:color w:val="auto"/>
                <w:szCs w:val="21"/>
                <w:highlight w:val="none"/>
              </w:rPr>
            </w:pPr>
          </w:p>
        </w:tc>
      </w:tr>
      <w:tr w14:paraId="55D01D33">
        <w:tblPrEx>
          <w:tblCellMar>
            <w:top w:w="0" w:type="dxa"/>
            <w:left w:w="108" w:type="dxa"/>
            <w:bottom w:w="0" w:type="dxa"/>
            <w:right w:w="108" w:type="dxa"/>
          </w:tblCellMar>
        </w:tblPrEx>
        <w:tc>
          <w:tcPr>
            <w:tcW w:w="2112" w:type="dxa"/>
          </w:tcPr>
          <w:p w14:paraId="2AC7751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w:t>
            </w:r>
          </w:p>
        </w:tc>
        <w:tc>
          <w:tcPr>
            <w:tcW w:w="2137" w:type="dxa"/>
          </w:tcPr>
          <w:p w14:paraId="39FCF712">
            <w:pPr>
              <w:spacing w:line="360" w:lineRule="auto"/>
              <w:rPr>
                <w:rFonts w:hint="eastAsia" w:ascii="宋体" w:hAnsi="宋体" w:eastAsia="宋体" w:cs="宋体"/>
                <w:color w:val="auto"/>
                <w:szCs w:val="21"/>
                <w:highlight w:val="none"/>
              </w:rPr>
            </w:pPr>
          </w:p>
        </w:tc>
        <w:tc>
          <w:tcPr>
            <w:tcW w:w="2136" w:type="dxa"/>
          </w:tcPr>
          <w:p w14:paraId="25ED39B4">
            <w:pPr>
              <w:spacing w:line="360" w:lineRule="auto"/>
              <w:rPr>
                <w:rFonts w:hint="eastAsia" w:ascii="宋体" w:hAnsi="宋体" w:eastAsia="宋体" w:cs="宋体"/>
                <w:color w:val="auto"/>
                <w:szCs w:val="21"/>
                <w:highlight w:val="none"/>
              </w:rPr>
            </w:pPr>
          </w:p>
        </w:tc>
        <w:tc>
          <w:tcPr>
            <w:tcW w:w="2137" w:type="dxa"/>
          </w:tcPr>
          <w:p w14:paraId="5F1E29FD">
            <w:pPr>
              <w:spacing w:line="360" w:lineRule="auto"/>
              <w:rPr>
                <w:rFonts w:hint="eastAsia" w:ascii="宋体" w:hAnsi="宋体" w:eastAsia="宋体" w:cs="宋体"/>
                <w:color w:val="auto"/>
                <w:szCs w:val="21"/>
                <w:highlight w:val="none"/>
              </w:rPr>
            </w:pPr>
          </w:p>
        </w:tc>
      </w:tr>
      <w:tr w14:paraId="47CC7338">
        <w:tblPrEx>
          <w:tblCellMar>
            <w:top w:w="0" w:type="dxa"/>
            <w:left w:w="108" w:type="dxa"/>
            <w:bottom w:w="0" w:type="dxa"/>
            <w:right w:w="108" w:type="dxa"/>
          </w:tblCellMar>
        </w:tblPrEx>
        <w:tc>
          <w:tcPr>
            <w:tcW w:w="2112" w:type="dxa"/>
          </w:tcPr>
          <w:p w14:paraId="7CB2607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w:t>
            </w:r>
          </w:p>
        </w:tc>
        <w:tc>
          <w:tcPr>
            <w:tcW w:w="2137" w:type="dxa"/>
          </w:tcPr>
          <w:p w14:paraId="132B71AE">
            <w:pPr>
              <w:spacing w:line="360" w:lineRule="auto"/>
              <w:rPr>
                <w:rFonts w:hint="eastAsia" w:ascii="宋体" w:hAnsi="宋体" w:eastAsia="宋体" w:cs="宋体"/>
                <w:color w:val="auto"/>
                <w:szCs w:val="21"/>
                <w:highlight w:val="none"/>
              </w:rPr>
            </w:pPr>
          </w:p>
        </w:tc>
        <w:tc>
          <w:tcPr>
            <w:tcW w:w="2136" w:type="dxa"/>
          </w:tcPr>
          <w:p w14:paraId="781A303D">
            <w:pPr>
              <w:spacing w:line="360" w:lineRule="auto"/>
              <w:rPr>
                <w:rFonts w:hint="eastAsia" w:ascii="宋体" w:hAnsi="宋体" w:eastAsia="宋体" w:cs="宋体"/>
                <w:color w:val="auto"/>
                <w:szCs w:val="21"/>
                <w:highlight w:val="none"/>
              </w:rPr>
            </w:pPr>
          </w:p>
        </w:tc>
        <w:tc>
          <w:tcPr>
            <w:tcW w:w="2137" w:type="dxa"/>
          </w:tcPr>
          <w:p w14:paraId="49510620">
            <w:pPr>
              <w:spacing w:line="360" w:lineRule="auto"/>
              <w:rPr>
                <w:rFonts w:hint="eastAsia" w:ascii="宋体" w:hAnsi="宋体" w:eastAsia="宋体" w:cs="宋体"/>
                <w:color w:val="auto"/>
                <w:szCs w:val="21"/>
                <w:highlight w:val="none"/>
              </w:rPr>
            </w:pPr>
          </w:p>
        </w:tc>
      </w:tr>
    </w:tbl>
    <w:p w14:paraId="735D710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4、本次采购要求的其他资格文件以及供应商认为需要声明的其他情况：</w:t>
      </w:r>
    </w:p>
    <w:p w14:paraId="0E700A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兹证明上述声明是真实的、正确的，并提供了全部能提供的资料和数据，我们同意遵照贵方要求出示有关证明文件，如有虚假，自愿丧失中标资格，一年内退出扬州采购市场。</w:t>
      </w:r>
    </w:p>
    <w:p w14:paraId="7C02B4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供应商公章：</w:t>
      </w:r>
    </w:p>
    <w:p w14:paraId="61EE1A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法定代表人或授权代表签字：</w:t>
      </w:r>
    </w:p>
    <w:p w14:paraId="39FFDA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日期：年月日        </w:t>
      </w:r>
    </w:p>
    <w:p w14:paraId="228FC083">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（注：资格声明为格式文件,实质性内容请勿修改，否则将导致投标文件无效）</w:t>
      </w:r>
    </w:p>
    <w:p w14:paraId="78280169">
      <w:pPr>
        <w:spacing w:line="460" w:lineRule="exact"/>
        <w:rPr>
          <w:rFonts w:hint="eastAsia" w:ascii="宋体" w:hAnsi="宋体" w:eastAsia="宋体" w:cs="宋体"/>
          <w:bCs/>
          <w:color w:val="auto"/>
          <w:sz w:val="24"/>
          <w:highlight w:val="none"/>
        </w:rPr>
      </w:pPr>
    </w:p>
    <w:p w14:paraId="0B4F61FF">
      <w:pPr>
        <w:pStyle w:val="64"/>
        <w:spacing w:line="360" w:lineRule="auto"/>
        <w:ind w:firstLine="422"/>
        <w:jc w:val="center"/>
        <w:rPr>
          <w:rFonts w:hint="eastAsia" w:ascii="宋体" w:hAnsi="宋体" w:eastAsia="宋体" w:cs="宋体"/>
          <w:b/>
          <w:bCs/>
          <w:color w:val="auto"/>
          <w:sz w:val="21"/>
          <w:szCs w:val="21"/>
          <w:highlight w:val="none"/>
        </w:rPr>
      </w:pPr>
    </w:p>
    <w:p w14:paraId="23385C65">
      <w:pPr>
        <w:pStyle w:val="64"/>
        <w:spacing w:line="360" w:lineRule="auto"/>
        <w:ind w:firstLine="422"/>
        <w:jc w:val="center"/>
        <w:rPr>
          <w:rFonts w:hint="eastAsia" w:ascii="宋体" w:hAnsi="宋体" w:eastAsia="宋体" w:cs="宋体"/>
          <w:b/>
          <w:bCs/>
          <w:color w:val="auto"/>
          <w:sz w:val="21"/>
          <w:szCs w:val="21"/>
          <w:highlight w:val="none"/>
        </w:rPr>
      </w:pPr>
    </w:p>
    <w:p w14:paraId="7B0789D1">
      <w:pPr>
        <w:pStyle w:val="64"/>
        <w:spacing w:line="360" w:lineRule="auto"/>
        <w:ind w:firstLine="422"/>
        <w:jc w:val="center"/>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法人</w:t>
      </w:r>
      <w:r>
        <w:rPr>
          <w:rFonts w:hint="eastAsia" w:ascii="宋体" w:hAnsi="宋体" w:eastAsia="宋体" w:cs="宋体"/>
          <w:b/>
          <w:color w:val="auto"/>
          <w:sz w:val="21"/>
          <w:szCs w:val="21"/>
          <w:highlight w:val="none"/>
        </w:rPr>
        <w:t>授权书</w:t>
      </w:r>
    </w:p>
    <w:p w14:paraId="4B206E2F">
      <w:pPr>
        <w:pStyle w:val="64"/>
        <w:spacing w:line="360" w:lineRule="auto"/>
        <w:ind w:firstLine="422"/>
        <w:jc w:val="center"/>
        <w:rPr>
          <w:rFonts w:hint="eastAsia" w:ascii="宋体" w:hAnsi="宋体" w:eastAsia="宋体" w:cs="宋体"/>
          <w:b/>
          <w:color w:val="auto"/>
          <w:sz w:val="21"/>
          <w:szCs w:val="21"/>
          <w:highlight w:val="none"/>
        </w:rPr>
      </w:pPr>
    </w:p>
    <w:p w14:paraId="0AC5F85D">
      <w:pPr>
        <w:pStyle w:val="64"/>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本授权书声明：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（供应商名称）授权________________（被授权人的姓名）为我方就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项目编号</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项目名称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采购活动的合法代理人，以本公司名义全权处理一切与该项目采购有关的事务。</w:t>
      </w:r>
    </w:p>
    <w:p w14:paraId="7A6E3B31">
      <w:pPr>
        <w:pStyle w:val="64"/>
        <w:spacing w:line="360" w:lineRule="auto"/>
        <w:ind w:firstLine="420"/>
        <w:rPr>
          <w:rFonts w:hint="eastAsia" w:ascii="宋体" w:hAnsi="宋体" w:eastAsia="宋体" w:cs="宋体"/>
          <w:color w:val="auto"/>
          <w:sz w:val="21"/>
          <w:szCs w:val="21"/>
          <w:highlight w:val="none"/>
        </w:rPr>
      </w:pPr>
    </w:p>
    <w:p w14:paraId="228F49F9">
      <w:pPr>
        <w:pStyle w:val="64"/>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本授权书于______年____月____日起生效，特此声明。</w:t>
      </w:r>
    </w:p>
    <w:p w14:paraId="4AB15268">
      <w:pPr>
        <w:pStyle w:val="64"/>
        <w:spacing w:line="360" w:lineRule="auto"/>
        <w:ind w:firstLine="0" w:firstLineChars="0"/>
        <w:rPr>
          <w:rFonts w:hint="eastAsia" w:ascii="宋体" w:hAnsi="宋体" w:eastAsia="宋体" w:cs="宋体"/>
          <w:color w:val="auto"/>
          <w:sz w:val="21"/>
          <w:szCs w:val="21"/>
          <w:highlight w:val="none"/>
        </w:rPr>
      </w:pPr>
    </w:p>
    <w:p w14:paraId="563EF62F">
      <w:pPr>
        <w:pStyle w:val="64"/>
        <w:spacing w:line="360" w:lineRule="auto"/>
        <w:ind w:firstLine="0" w:firstLineChars="0"/>
        <w:rPr>
          <w:rFonts w:hint="eastAsia" w:ascii="宋体" w:hAnsi="宋体" w:eastAsia="宋体" w:cs="宋体"/>
          <w:color w:val="auto"/>
          <w:sz w:val="21"/>
          <w:szCs w:val="21"/>
          <w:highlight w:val="none"/>
        </w:rPr>
      </w:pPr>
    </w:p>
    <w:tbl>
      <w:tblPr>
        <w:tblStyle w:val="34"/>
        <w:tblW w:w="0" w:type="auto"/>
        <w:tblInd w:w="6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6"/>
        <w:gridCol w:w="3403"/>
      </w:tblGrid>
      <w:tr w14:paraId="4013E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6" w:type="dxa"/>
            <w:tcBorders>
              <w:top w:val="nil"/>
              <w:left w:val="nil"/>
              <w:bottom w:val="nil"/>
              <w:right w:val="nil"/>
            </w:tcBorders>
            <w:noWrap w:val="0"/>
            <w:vAlign w:val="bottom"/>
          </w:tcPr>
          <w:p w14:paraId="61CA3480">
            <w:pPr>
              <w:pStyle w:val="64"/>
              <w:spacing w:line="360" w:lineRule="auto"/>
              <w:ind w:left="0" w:leftChars="0" w:firstLine="0" w:firstLine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单位名称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公章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tc>
        <w:tc>
          <w:tcPr>
            <w:tcW w:w="3403" w:type="dxa"/>
            <w:tcBorders>
              <w:top w:val="nil"/>
              <w:left w:val="nil"/>
              <w:right w:val="nil"/>
            </w:tcBorders>
            <w:noWrap w:val="0"/>
            <w:vAlign w:val="top"/>
          </w:tcPr>
          <w:p w14:paraId="507C2EB8">
            <w:pPr>
              <w:pStyle w:val="64"/>
              <w:spacing w:line="360" w:lineRule="auto"/>
              <w:rPr>
                <w:rFonts w:hint="eastAsia" w:ascii="宋体" w:hAnsi="宋体" w:eastAsia="宋体" w:cs="宋体"/>
                <w:color w:val="auto"/>
                <w:sz w:val="21"/>
                <w:szCs w:val="21"/>
                <w:highlight w:val="none"/>
                <w:vertAlign w:val="baseline"/>
              </w:rPr>
            </w:pPr>
          </w:p>
        </w:tc>
      </w:tr>
      <w:tr w14:paraId="7005C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6" w:type="dxa"/>
            <w:tcBorders>
              <w:top w:val="nil"/>
              <w:left w:val="nil"/>
              <w:bottom w:val="nil"/>
              <w:right w:val="nil"/>
            </w:tcBorders>
            <w:noWrap w:val="0"/>
            <w:vAlign w:val="bottom"/>
          </w:tcPr>
          <w:p w14:paraId="2C48B1F7">
            <w:pPr>
              <w:pStyle w:val="64"/>
              <w:spacing w:line="360" w:lineRule="auto"/>
              <w:ind w:left="0" w:leftChars="0" w:firstLine="0" w:firstLine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lang w:val="en-US" w:eastAsia="zh-CN"/>
              </w:rPr>
              <w:t>法定代表人（签字或盖章）</w:t>
            </w:r>
            <w:r>
              <w:rPr>
                <w:rFonts w:hint="eastAsia" w:ascii="宋体" w:hAnsi="宋体" w:eastAsia="宋体" w:cs="宋体"/>
                <w:color w:val="auto"/>
                <w:sz w:val="21"/>
                <w:szCs w:val="21"/>
                <w:highlight w:val="none"/>
              </w:rPr>
              <w:t>：</w:t>
            </w:r>
          </w:p>
        </w:tc>
        <w:tc>
          <w:tcPr>
            <w:tcW w:w="3403" w:type="dxa"/>
            <w:tcBorders>
              <w:left w:val="nil"/>
              <w:right w:val="nil"/>
            </w:tcBorders>
            <w:noWrap w:val="0"/>
            <w:vAlign w:val="top"/>
          </w:tcPr>
          <w:p w14:paraId="26A73CB9">
            <w:pPr>
              <w:pStyle w:val="64"/>
              <w:spacing w:line="360" w:lineRule="auto"/>
              <w:rPr>
                <w:rFonts w:hint="eastAsia" w:ascii="宋体" w:hAnsi="宋体" w:eastAsia="宋体" w:cs="宋体"/>
                <w:color w:val="auto"/>
                <w:sz w:val="21"/>
                <w:szCs w:val="21"/>
                <w:highlight w:val="none"/>
                <w:vertAlign w:val="baseline"/>
              </w:rPr>
            </w:pPr>
          </w:p>
        </w:tc>
      </w:tr>
      <w:tr w14:paraId="7520D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6" w:type="dxa"/>
            <w:tcBorders>
              <w:top w:val="nil"/>
              <w:left w:val="nil"/>
              <w:bottom w:val="nil"/>
              <w:right w:val="nil"/>
            </w:tcBorders>
            <w:noWrap w:val="0"/>
            <w:vAlign w:val="bottom"/>
          </w:tcPr>
          <w:p w14:paraId="24BD7CA8">
            <w:pPr>
              <w:pStyle w:val="64"/>
              <w:spacing w:line="360" w:lineRule="auto"/>
              <w:ind w:left="0" w:leftChars="0" w:firstLine="0" w:firstLine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lang w:val="en-US" w:eastAsia="zh-CN"/>
              </w:rPr>
              <w:t>身份证号码</w:t>
            </w:r>
            <w:r>
              <w:rPr>
                <w:rFonts w:hint="eastAsia" w:ascii="宋体" w:hAnsi="宋体" w:eastAsia="宋体" w:cs="宋体"/>
                <w:color w:val="auto"/>
                <w:sz w:val="21"/>
                <w:szCs w:val="21"/>
                <w:highlight w:val="none"/>
              </w:rPr>
              <w:t>：</w:t>
            </w:r>
          </w:p>
        </w:tc>
        <w:tc>
          <w:tcPr>
            <w:tcW w:w="3403" w:type="dxa"/>
            <w:tcBorders>
              <w:left w:val="nil"/>
              <w:right w:val="nil"/>
            </w:tcBorders>
            <w:noWrap w:val="0"/>
            <w:vAlign w:val="top"/>
          </w:tcPr>
          <w:p w14:paraId="3A72D2E3">
            <w:pPr>
              <w:pStyle w:val="64"/>
              <w:spacing w:line="360" w:lineRule="auto"/>
              <w:rPr>
                <w:rFonts w:hint="eastAsia" w:ascii="宋体" w:hAnsi="宋体" w:eastAsia="宋体" w:cs="宋体"/>
                <w:color w:val="auto"/>
                <w:sz w:val="21"/>
                <w:szCs w:val="21"/>
                <w:highlight w:val="none"/>
                <w:vertAlign w:val="baseline"/>
              </w:rPr>
            </w:pPr>
          </w:p>
        </w:tc>
      </w:tr>
      <w:tr w14:paraId="07EAA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6" w:type="dxa"/>
            <w:tcBorders>
              <w:top w:val="nil"/>
              <w:left w:val="nil"/>
              <w:bottom w:val="nil"/>
              <w:right w:val="nil"/>
            </w:tcBorders>
            <w:noWrap w:val="0"/>
            <w:vAlign w:val="bottom"/>
          </w:tcPr>
          <w:p w14:paraId="1925CA06">
            <w:pPr>
              <w:pStyle w:val="64"/>
              <w:spacing w:line="360" w:lineRule="auto"/>
              <w:ind w:left="0" w:leftChars="0" w:firstLine="0" w:firstLine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lang w:val="en-US" w:eastAsia="zh-CN"/>
              </w:rPr>
              <w:t>被授权人（签字或盖章）</w:t>
            </w:r>
            <w:r>
              <w:rPr>
                <w:rFonts w:hint="eastAsia" w:ascii="宋体" w:hAnsi="宋体" w:eastAsia="宋体" w:cs="宋体"/>
                <w:color w:val="auto"/>
                <w:sz w:val="21"/>
                <w:szCs w:val="21"/>
                <w:highlight w:val="none"/>
              </w:rPr>
              <w:t>：</w:t>
            </w:r>
          </w:p>
        </w:tc>
        <w:tc>
          <w:tcPr>
            <w:tcW w:w="3403" w:type="dxa"/>
            <w:tcBorders>
              <w:left w:val="nil"/>
              <w:right w:val="nil"/>
            </w:tcBorders>
            <w:noWrap w:val="0"/>
            <w:vAlign w:val="top"/>
          </w:tcPr>
          <w:p w14:paraId="0014F946">
            <w:pPr>
              <w:pStyle w:val="64"/>
              <w:spacing w:line="360" w:lineRule="auto"/>
              <w:rPr>
                <w:rFonts w:hint="eastAsia" w:ascii="宋体" w:hAnsi="宋体" w:eastAsia="宋体" w:cs="宋体"/>
                <w:color w:val="auto"/>
                <w:sz w:val="21"/>
                <w:szCs w:val="21"/>
                <w:highlight w:val="none"/>
                <w:vertAlign w:val="baseline"/>
              </w:rPr>
            </w:pPr>
          </w:p>
        </w:tc>
      </w:tr>
      <w:tr w14:paraId="49200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6" w:type="dxa"/>
            <w:tcBorders>
              <w:top w:val="nil"/>
              <w:left w:val="nil"/>
              <w:bottom w:val="nil"/>
              <w:right w:val="nil"/>
            </w:tcBorders>
            <w:noWrap w:val="0"/>
            <w:vAlign w:val="bottom"/>
          </w:tcPr>
          <w:p w14:paraId="413EB83E">
            <w:pPr>
              <w:pStyle w:val="64"/>
              <w:spacing w:line="360" w:lineRule="auto"/>
              <w:ind w:left="0" w:leftChars="0" w:firstLine="0" w:firstLine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lang w:val="en-US" w:eastAsia="zh-CN"/>
              </w:rPr>
              <w:t>身份证号码</w:t>
            </w:r>
            <w:r>
              <w:rPr>
                <w:rFonts w:hint="eastAsia" w:ascii="宋体" w:hAnsi="宋体" w:eastAsia="宋体" w:cs="宋体"/>
                <w:color w:val="auto"/>
                <w:sz w:val="21"/>
                <w:szCs w:val="21"/>
                <w:highlight w:val="none"/>
              </w:rPr>
              <w:t>：</w:t>
            </w:r>
          </w:p>
        </w:tc>
        <w:tc>
          <w:tcPr>
            <w:tcW w:w="3403" w:type="dxa"/>
            <w:tcBorders>
              <w:left w:val="nil"/>
              <w:right w:val="nil"/>
            </w:tcBorders>
            <w:noWrap w:val="0"/>
            <w:vAlign w:val="top"/>
          </w:tcPr>
          <w:p w14:paraId="1773179A">
            <w:pPr>
              <w:pStyle w:val="64"/>
              <w:spacing w:line="360" w:lineRule="auto"/>
              <w:rPr>
                <w:rFonts w:hint="eastAsia" w:ascii="宋体" w:hAnsi="宋体" w:eastAsia="宋体" w:cs="宋体"/>
                <w:color w:val="auto"/>
                <w:sz w:val="21"/>
                <w:szCs w:val="21"/>
                <w:highlight w:val="none"/>
                <w:vertAlign w:val="baseline"/>
              </w:rPr>
            </w:pPr>
          </w:p>
        </w:tc>
      </w:tr>
      <w:tr w14:paraId="14174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6" w:type="dxa"/>
            <w:tcBorders>
              <w:top w:val="nil"/>
              <w:left w:val="nil"/>
              <w:bottom w:val="nil"/>
              <w:right w:val="nil"/>
            </w:tcBorders>
            <w:noWrap w:val="0"/>
            <w:vAlign w:val="bottom"/>
          </w:tcPr>
          <w:p w14:paraId="3FAF1BC0">
            <w:pPr>
              <w:pStyle w:val="64"/>
              <w:spacing w:line="360" w:lineRule="auto"/>
              <w:ind w:left="0" w:leftChars="0" w:firstLine="0" w:firstLine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日期：</w:t>
            </w:r>
          </w:p>
        </w:tc>
        <w:tc>
          <w:tcPr>
            <w:tcW w:w="3403" w:type="dxa"/>
            <w:tcBorders>
              <w:left w:val="nil"/>
              <w:right w:val="nil"/>
            </w:tcBorders>
            <w:noWrap w:val="0"/>
            <w:vAlign w:val="bottom"/>
          </w:tcPr>
          <w:p w14:paraId="2F1F85D7">
            <w:pPr>
              <w:pStyle w:val="64"/>
              <w:spacing w:line="360" w:lineRule="auto"/>
              <w:ind w:firstLine="1050" w:firstLineChars="500"/>
              <w:jc w:val="both"/>
              <w:rPr>
                <w:rFonts w:hint="eastAsia" w:ascii="宋体" w:hAnsi="宋体" w:eastAsia="宋体" w:cs="宋体"/>
                <w:color w:val="auto"/>
                <w:sz w:val="21"/>
                <w:szCs w:val="21"/>
                <w:highlight w:val="none"/>
                <w:u w:val="none"/>
                <w:vertAlign w:val="baseline"/>
              </w:rPr>
            </w:pPr>
            <w:r>
              <w:rPr>
                <w:rFonts w:hint="eastAsia" w:ascii="宋体" w:hAnsi="宋体" w:eastAsia="宋体" w:cs="宋体"/>
                <w:color w:val="auto"/>
                <w:sz w:val="21"/>
                <w:szCs w:val="21"/>
                <w:highlight w:val="none"/>
                <w:u w:val="none"/>
              </w:rPr>
              <w:t>年</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rPr>
              <w:t>月</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rPr>
              <w:t>日</w:t>
            </w:r>
          </w:p>
        </w:tc>
      </w:tr>
    </w:tbl>
    <w:p w14:paraId="1CFBD371">
      <w:pPr>
        <w:spacing w:line="460" w:lineRule="exact"/>
        <w:rPr>
          <w:rFonts w:hint="eastAsia" w:ascii="宋体" w:hAnsi="宋体" w:eastAsia="宋体" w:cs="宋体"/>
          <w:bCs/>
          <w:color w:val="auto"/>
          <w:szCs w:val="21"/>
          <w:highlight w:val="none"/>
        </w:rPr>
      </w:pPr>
    </w:p>
    <w:p w14:paraId="61BEA919">
      <w:pPr>
        <w:spacing w:line="460" w:lineRule="exact"/>
        <w:rPr>
          <w:rFonts w:hint="eastAsia" w:ascii="宋体" w:hAnsi="宋体" w:eastAsia="宋体" w:cs="宋体"/>
          <w:bCs/>
          <w:color w:val="auto"/>
          <w:sz w:val="24"/>
          <w:highlight w:val="none"/>
        </w:rPr>
      </w:pPr>
    </w:p>
    <w:p w14:paraId="42308686">
      <w:pPr>
        <w:spacing w:line="4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被授权人身份证复印件：</w:t>
      </w:r>
    </w:p>
    <w:tbl>
      <w:tblPr>
        <w:tblStyle w:val="34"/>
        <w:tblW w:w="3225" w:type="pct"/>
        <w:tblInd w:w="4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6"/>
      </w:tblGrid>
      <w:tr w14:paraId="10420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7" w:hRule="atLeast"/>
        </w:trPr>
        <w:tc>
          <w:tcPr>
            <w:tcW w:w="5000" w:type="pct"/>
            <w:noWrap w:val="0"/>
            <w:vAlign w:val="top"/>
          </w:tcPr>
          <w:p w14:paraId="4DEFF440">
            <w:pPr>
              <w:spacing w:before="143" w:beforeLines="50" w:after="143" w:afterLines="50" w:line="360" w:lineRule="auto"/>
              <w:jc w:val="center"/>
              <w:rPr>
                <w:rFonts w:hint="eastAsia" w:ascii="宋体" w:hAnsi="宋体" w:eastAsia="宋体" w:cs="宋体"/>
                <w:b/>
                <w:bCs/>
                <w:color w:val="auto"/>
                <w:szCs w:val="21"/>
                <w:highlight w:val="none"/>
                <w:vertAlign w:val="baseline"/>
              </w:rPr>
            </w:pPr>
          </w:p>
        </w:tc>
      </w:tr>
    </w:tbl>
    <w:p w14:paraId="3DC37522">
      <w:pPr>
        <w:pStyle w:val="2"/>
        <w:rPr>
          <w:rFonts w:hint="eastAsia" w:ascii="宋体" w:hAnsi="宋体" w:eastAsia="宋体" w:cs="宋体"/>
          <w:color w:val="auto"/>
          <w:highlight w:val="none"/>
        </w:rPr>
      </w:pPr>
    </w:p>
    <w:p w14:paraId="22BD8FF2">
      <w:pPr>
        <w:pStyle w:val="64"/>
        <w:spacing w:line="360" w:lineRule="auto"/>
        <w:ind w:firstLine="480"/>
        <w:rPr>
          <w:rFonts w:hint="eastAsia" w:ascii="宋体" w:hAnsi="宋体" w:eastAsia="宋体" w:cs="宋体"/>
          <w:bCs/>
          <w:color w:val="auto"/>
          <w:sz w:val="24"/>
          <w:highlight w:val="none"/>
        </w:rPr>
      </w:pPr>
    </w:p>
    <w:p w14:paraId="471B8CE8">
      <w:pPr>
        <w:spacing w:line="460" w:lineRule="exact"/>
        <w:rPr>
          <w:rFonts w:hint="eastAsia" w:ascii="宋体" w:hAnsi="宋体" w:eastAsia="宋体" w:cs="宋体"/>
          <w:bCs/>
          <w:color w:val="auto"/>
          <w:sz w:val="24"/>
          <w:highlight w:val="none"/>
        </w:rPr>
      </w:pPr>
    </w:p>
    <w:p w14:paraId="6E80C6FC">
      <w:pPr>
        <w:pStyle w:val="64"/>
        <w:spacing w:line="360" w:lineRule="auto"/>
        <w:rPr>
          <w:rFonts w:hint="eastAsia" w:ascii="宋体" w:hAnsi="宋体" w:eastAsia="宋体" w:cs="宋体"/>
          <w:b/>
          <w:color w:val="auto"/>
          <w:sz w:val="21"/>
          <w:szCs w:val="21"/>
          <w:highlight w:val="none"/>
        </w:rPr>
      </w:pPr>
    </w:p>
    <w:p w14:paraId="430FA120">
      <w:pPr>
        <w:pStyle w:val="64"/>
        <w:spacing w:line="360" w:lineRule="auto"/>
        <w:ind w:firstLine="801" w:firstLineChars="380"/>
        <w:rPr>
          <w:rFonts w:hint="eastAsia" w:ascii="宋体" w:hAnsi="宋体" w:eastAsia="宋体" w:cs="宋体"/>
          <w:b/>
          <w:color w:val="auto"/>
          <w:sz w:val="21"/>
          <w:szCs w:val="21"/>
          <w:highlight w:val="none"/>
        </w:rPr>
      </w:pPr>
    </w:p>
    <w:p w14:paraId="10F367C2">
      <w:pPr>
        <w:pStyle w:val="64"/>
        <w:spacing w:line="360" w:lineRule="auto"/>
        <w:ind w:firstLine="801" w:firstLineChars="38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参加采购活动前 3 年内在经营活动中没有重大违法记录的书面声明</w:t>
      </w:r>
    </w:p>
    <w:p w14:paraId="2E461118">
      <w:pPr>
        <w:spacing w:line="360" w:lineRule="auto"/>
        <w:rPr>
          <w:rFonts w:hint="eastAsia" w:ascii="宋体" w:hAnsi="宋体" w:eastAsia="宋体" w:cs="宋体"/>
          <w:b/>
          <w:bCs/>
          <w:color w:val="auto"/>
          <w:szCs w:val="21"/>
          <w:highlight w:val="none"/>
        </w:rPr>
      </w:pPr>
    </w:p>
    <w:p w14:paraId="1A708E67">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                                      声  明   </w:t>
      </w:r>
    </w:p>
    <w:p w14:paraId="4B108F05">
      <w:pPr>
        <w:pStyle w:val="2"/>
        <w:ind w:firstLine="420"/>
        <w:rPr>
          <w:rFonts w:hint="eastAsia" w:ascii="宋体" w:hAnsi="宋体" w:eastAsia="宋体" w:cs="宋体"/>
          <w:color w:val="auto"/>
          <w:highlight w:val="none"/>
        </w:rPr>
      </w:pPr>
    </w:p>
    <w:p w14:paraId="01A1C518">
      <w:pPr>
        <w:spacing w:line="360" w:lineRule="auto"/>
        <w:ind w:firstLine="525" w:firstLineChars="25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我公司郑重声明：参加本次采购活动前 3 年内，我公司在经营活动中没有因违法经营受到刑事处罚或者责令停产停业、吊销许可证或者执照、较大数额罚款等行政处罚。</w:t>
      </w:r>
    </w:p>
    <w:p w14:paraId="7ED4B6DB">
      <w:pPr>
        <w:spacing w:line="360" w:lineRule="auto"/>
        <w:rPr>
          <w:rFonts w:hint="eastAsia" w:ascii="宋体" w:hAnsi="宋体" w:eastAsia="宋体" w:cs="宋体"/>
          <w:bCs/>
          <w:color w:val="auto"/>
          <w:szCs w:val="21"/>
          <w:highlight w:val="none"/>
        </w:rPr>
      </w:pPr>
    </w:p>
    <w:p w14:paraId="3C9420D6">
      <w:pPr>
        <w:spacing w:line="360" w:lineRule="auto"/>
        <w:rPr>
          <w:rFonts w:hint="eastAsia" w:ascii="宋体" w:hAnsi="宋体" w:eastAsia="宋体" w:cs="宋体"/>
          <w:bCs/>
          <w:color w:val="auto"/>
          <w:szCs w:val="21"/>
          <w:highlight w:val="none"/>
        </w:rPr>
      </w:pPr>
    </w:p>
    <w:p w14:paraId="4F7AF757">
      <w:pPr>
        <w:spacing w:line="360" w:lineRule="auto"/>
        <w:rPr>
          <w:rFonts w:hint="eastAsia" w:ascii="宋体" w:hAnsi="宋体" w:eastAsia="宋体" w:cs="宋体"/>
          <w:bCs/>
          <w:color w:val="auto"/>
          <w:szCs w:val="21"/>
          <w:highlight w:val="none"/>
        </w:rPr>
      </w:pPr>
    </w:p>
    <w:p w14:paraId="76A639E6">
      <w:pPr>
        <w:spacing w:line="360" w:lineRule="auto"/>
        <w:ind w:firstLine="4410" w:firstLineChars="21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供应商名称（公章）：</w:t>
      </w:r>
    </w:p>
    <w:p w14:paraId="7D1F544A">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法定代表人或授权代表签字：</w:t>
      </w:r>
    </w:p>
    <w:p w14:paraId="7DAAB264">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日期：</w:t>
      </w:r>
      <w:r>
        <w:rPr>
          <w:rFonts w:hint="eastAsia" w:ascii="宋体" w:hAnsi="宋体" w:eastAsia="宋体" w:cs="宋体"/>
          <w:bCs/>
          <w:color w:val="auto"/>
          <w:szCs w:val="21"/>
          <w:highlight w:val="none"/>
          <w:u w:val="single"/>
        </w:rPr>
        <w:t>______</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rPr>
        <w:t>日</w:t>
      </w:r>
    </w:p>
    <w:p w14:paraId="27061829">
      <w:pPr>
        <w:spacing w:line="500" w:lineRule="exact"/>
        <w:jc w:val="center"/>
        <w:rPr>
          <w:rFonts w:hint="eastAsia" w:ascii="宋体" w:hAnsi="宋体" w:eastAsia="宋体" w:cs="宋体"/>
          <w:b/>
          <w:bCs/>
          <w:color w:val="auto"/>
          <w:szCs w:val="21"/>
          <w:highlight w:val="none"/>
        </w:rPr>
      </w:pPr>
    </w:p>
    <w:p w14:paraId="57E5FA71">
      <w:pPr>
        <w:spacing w:line="500" w:lineRule="exact"/>
        <w:jc w:val="center"/>
        <w:rPr>
          <w:rFonts w:hint="eastAsia" w:ascii="宋体" w:hAnsi="宋体" w:eastAsia="宋体" w:cs="宋体"/>
          <w:b/>
          <w:bCs/>
          <w:color w:val="auto"/>
          <w:szCs w:val="21"/>
          <w:highlight w:val="none"/>
        </w:rPr>
      </w:pPr>
    </w:p>
    <w:p w14:paraId="33552AF7">
      <w:pPr>
        <w:spacing w:line="500" w:lineRule="exact"/>
        <w:jc w:val="center"/>
        <w:rPr>
          <w:rFonts w:hint="eastAsia" w:ascii="宋体" w:hAnsi="宋体" w:eastAsia="宋体" w:cs="宋体"/>
          <w:b/>
          <w:bCs/>
          <w:color w:val="auto"/>
          <w:szCs w:val="21"/>
          <w:highlight w:val="none"/>
        </w:rPr>
      </w:pPr>
    </w:p>
    <w:p w14:paraId="3DFF1463">
      <w:pPr>
        <w:spacing w:line="500" w:lineRule="exact"/>
        <w:jc w:val="center"/>
        <w:rPr>
          <w:rFonts w:hint="eastAsia" w:ascii="宋体" w:hAnsi="宋体" w:eastAsia="宋体" w:cs="宋体"/>
          <w:b/>
          <w:bCs/>
          <w:color w:val="auto"/>
          <w:szCs w:val="21"/>
          <w:highlight w:val="none"/>
        </w:rPr>
      </w:pPr>
    </w:p>
    <w:p w14:paraId="1DB8C8B7">
      <w:pPr>
        <w:spacing w:line="500" w:lineRule="exact"/>
        <w:jc w:val="center"/>
        <w:rPr>
          <w:rFonts w:hint="eastAsia" w:ascii="宋体" w:hAnsi="宋体" w:eastAsia="宋体" w:cs="宋体"/>
          <w:b/>
          <w:bCs/>
          <w:color w:val="auto"/>
          <w:szCs w:val="21"/>
          <w:highlight w:val="none"/>
        </w:rPr>
      </w:pPr>
    </w:p>
    <w:p w14:paraId="5C92C367">
      <w:pPr>
        <w:spacing w:line="500" w:lineRule="exact"/>
        <w:jc w:val="center"/>
        <w:rPr>
          <w:rFonts w:hint="eastAsia" w:ascii="宋体" w:hAnsi="宋体" w:eastAsia="宋体" w:cs="宋体"/>
          <w:b/>
          <w:bCs/>
          <w:color w:val="auto"/>
          <w:szCs w:val="21"/>
          <w:highlight w:val="none"/>
        </w:rPr>
      </w:pPr>
    </w:p>
    <w:p w14:paraId="66865F5E">
      <w:pPr>
        <w:spacing w:line="500" w:lineRule="exact"/>
        <w:jc w:val="center"/>
        <w:rPr>
          <w:rFonts w:hint="eastAsia" w:ascii="宋体" w:hAnsi="宋体" w:eastAsia="宋体" w:cs="宋体"/>
          <w:b/>
          <w:bCs/>
          <w:color w:val="auto"/>
          <w:szCs w:val="21"/>
          <w:highlight w:val="none"/>
        </w:rPr>
      </w:pPr>
    </w:p>
    <w:p w14:paraId="6DA6A095">
      <w:pPr>
        <w:spacing w:line="500" w:lineRule="exact"/>
        <w:jc w:val="center"/>
        <w:rPr>
          <w:rFonts w:hint="eastAsia" w:ascii="宋体" w:hAnsi="宋体" w:eastAsia="宋体" w:cs="宋体"/>
          <w:b/>
          <w:bCs/>
          <w:color w:val="auto"/>
          <w:szCs w:val="21"/>
          <w:highlight w:val="none"/>
        </w:rPr>
      </w:pPr>
    </w:p>
    <w:p w14:paraId="6AF4188F">
      <w:pPr>
        <w:pStyle w:val="2"/>
        <w:ind w:firstLine="422"/>
        <w:rPr>
          <w:rFonts w:hint="eastAsia" w:ascii="宋体" w:hAnsi="宋体" w:eastAsia="宋体" w:cs="宋体"/>
          <w:b/>
          <w:bCs/>
          <w:color w:val="auto"/>
          <w:szCs w:val="21"/>
          <w:highlight w:val="none"/>
        </w:rPr>
      </w:pPr>
    </w:p>
    <w:p w14:paraId="3E146276">
      <w:pPr>
        <w:pStyle w:val="4"/>
        <w:ind w:left="482" w:hanging="482"/>
        <w:rPr>
          <w:rFonts w:hint="eastAsia" w:ascii="宋体" w:hAnsi="宋体" w:eastAsia="宋体" w:cs="宋体"/>
          <w:b/>
          <w:bCs/>
          <w:color w:val="auto"/>
          <w:szCs w:val="21"/>
          <w:highlight w:val="none"/>
        </w:rPr>
      </w:pPr>
    </w:p>
    <w:p w14:paraId="07302870">
      <w:pPr>
        <w:pStyle w:val="5"/>
        <w:rPr>
          <w:rFonts w:hint="eastAsia" w:ascii="宋体" w:hAnsi="宋体" w:eastAsia="宋体" w:cs="宋体"/>
          <w:b/>
          <w:bCs/>
          <w:color w:val="auto"/>
          <w:szCs w:val="21"/>
          <w:highlight w:val="none"/>
        </w:rPr>
      </w:pPr>
    </w:p>
    <w:p w14:paraId="429F333D">
      <w:pPr>
        <w:pStyle w:val="6"/>
        <w:rPr>
          <w:rFonts w:hint="eastAsia" w:ascii="宋体" w:hAnsi="宋体" w:eastAsia="宋体" w:cs="宋体"/>
          <w:b/>
          <w:bCs/>
          <w:color w:val="auto"/>
          <w:szCs w:val="21"/>
          <w:highlight w:val="none"/>
        </w:rPr>
      </w:pPr>
    </w:p>
    <w:p w14:paraId="1DE8348B">
      <w:pPr>
        <w:pStyle w:val="7"/>
        <w:ind w:firstLine="482"/>
        <w:rPr>
          <w:rFonts w:hint="eastAsia" w:ascii="宋体" w:hAnsi="宋体" w:eastAsia="宋体" w:cs="宋体"/>
          <w:b/>
          <w:bCs/>
          <w:color w:val="auto"/>
          <w:szCs w:val="21"/>
          <w:highlight w:val="none"/>
        </w:rPr>
      </w:pPr>
    </w:p>
    <w:p w14:paraId="44E40400">
      <w:pPr>
        <w:pStyle w:val="8"/>
        <w:spacing w:after="78"/>
        <w:ind w:firstLine="442"/>
        <w:rPr>
          <w:rFonts w:hint="eastAsia" w:ascii="宋体" w:hAnsi="宋体" w:eastAsia="宋体" w:cs="宋体"/>
          <w:b/>
          <w:bCs/>
          <w:color w:val="auto"/>
          <w:szCs w:val="21"/>
          <w:highlight w:val="none"/>
          <w:lang w:eastAsia="zh-CN"/>
        </w:rPr>
      </w:pPr>
    </w:p>
    <w:p w14:paraId="5B5DB059">
      <w:pPr>
        <w:pStyle w:val="23"/>
        <w:ind w:left="0" w:leftChars="0" w:firstLine="0" w:firstLineChars="0"/>
        <w:rPr>
          <w:rFonts w:hint="eastAsia" w:ascii="宋体" w:hAnsi="宋体" w:eastAsia="宋体" w:cs="宋体"/>
          <w:color w:val="auto"/>
          <w:highlight w:val="none"/>
        </w:rPr>
      </w:pPr>
    </w:p>
    <w:p w14:paraId="4F744F4B">
      <w:pPr>
        <w:spacing w:line="500" w:lineRule="exact"/>
        <w:jc w:val="both"/>
        <w:rPr>
          <w:rFonts w:hint="eastAsia" w:ascii="宋体" w:hAnsi="宋体" w:eastAsia="宋体" w:cs="宋体"/>
          <w:b/>
          <w:bCs/>
          <w:color w:val="auto"/>
          <w:szCs w:val="21"/>
          <w:highlight w:val="none"/>
        </w:rPr>
      </w:pPr>
    </w:p>
    <w:p w14:paraId="3608F029">
      <w:pPr>
        <w:spacing w:line="5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Cs w:val="21"/>
          <w:highlight w:val="none"/>
        </w:rPr>
        <w:t>供应商信用承诺</w:t>
      </w:r>
      <w:r>
        <w:rPr>
          <w:rFonts w:hint="eastAsia" w:ascii="宋体" w:hAnsi="宋体" w:eastAsia="宋体" w:cs="宋体"/>
          <w:b/>
          <w:bCs/>
          <w:color w:val="auto"/>
          <w:szCs w:val="21"/>
          <w:highlight w:val="none"/>
          <w:lang w:val="en-US" w:eastAsia="zh-CN"/>
        </w:rPr>
        <w:t>函</w:t>
      </w:r>
    </w:p>
    <w:p w14:paraId="256A9E02">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承诺主体名称：</w:t>
      </w:r>
    </w:p>
    <w:p w14:paraId="28F92D6B">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p>
    <w:p w14:paraId="0579D00C">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为维护公平竞争、规范有序的市场秩序，营造诚实守信的信用环境，共同推进社会信用体系建设完善，树立企业诚信守法形象，本企业对________________________项目采购活动郑重承诺如下:</w:t>
      </w:r>
    </w:p>
    <w:p w14:paraId="0D415FCD">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一、对提供给注册登记部门、行业管理部门、司法部门、行业组织以及在采购活动中提交的所有资料的合法性、真实性、准确性和有效性负责；</w:t>
      </w:r>
    </w:p>
    <w:p w14:paraId="6F10B66A">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二、严格按照国家法律、法规和规章开展采购活动，全面履行应尽的责任和义务，全面做到履约守信，具备《中华人民共和国政府采购法》第二十二条第一款规定的条件;</w:t>
      </w:r>
    </w:p>
    <w:p w14:paraId="4608CCEB">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三、严格依法开展生产经营活动，主动接受行业监管，自愿接受依法开展的日常检查；违法失信经营后将自愿接受约束和惩戒，并依法承担相应责任；</w:t>
      </w:r>
    </w:p>
    <w:p w14:paraId="48AA62F8">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四、自觉接受行政管理部门、行业组织、社会公众、新闻舆论的监督；</w:t>
      </w:r>
    </w:p>
    <w:p w14:paraId="3626C6B6">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五、自觉做到自我约束、自我管理，不制假售假、商标侵权、虚假宣传、违约毁约、恶意逃债、偷税漏税、垄断和不正当竞争，维护经营者、消费者的合法权益；</w:t>
      </w:r>
    </w:p>
    <w:p w14:paraId="2DB7453D">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六、提出采购质疑和投诉坚持依法依规、诚实信用原则，在全国范围12个月内没有三次以上查无实据的采购投诉；</w:t>
      </w:r>
    </w:p>
    <w:p w14:paraId="3BAD66BB">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七、严格遵守信用信息公示相关规定，向社会公示信用信息；</w:t>
      </w:r>
    </w:p>
    <w:p w14:paraId="25E7BE1B">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八、在“信用中国”和“中国政府采购网”网站中无违法违规、较重或严重失信记录；</w:t>
      </w:r>
    </w:p>
    <w:p w14:paraId="3C4B9326">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九、如违反承诺，自愿接受管理部门依法给予的行政处罚，同意将违反承诺的行为作为不良记录记入信用档案，依法依规进行信息公示，并承担所产生的一切法律责任和经济损失。</w:t>
      </w:r>
    </w:p>
    <w:p w14:paraId="633EBCAF">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十、本承诺书自签订之日起生效。</w:t>
      </w:r>
    </w:p>
    <w:p w14:paraId="72D99541">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（注：法定代表人或负责人、主体名称发生变更的应当重新做出承诺。）</w:t>
      </w:r>
    </w:p>
    <w:p w14:paraId="43F1B64B">
      <w:pPr>
        <w:spacing w:line="5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4127A6F2">
      <w:pPr>
        <w:spacing w:line="5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承诺单位（签章）：           </w:t>
      </w:r>
    </w:p>
    <w:p w14:paraId="0EC13BB3">
      <w:pPr>
        <w:spacing w:line="5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法定代表人（负责人）：</w:t>
      </w:r>
    </w:p>
    <w:p w14:paraId="209D4669">
      <w:pPr>
        <w:spacing w:line="460" w:lineRule="exac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　　　　　　　　　      　                        年  月  日</w:t>
      </w:r>
    </w:p>
    <w:p w14:paraId="332C76DF">
      <w:pPr>
        <w:spacing w:beforeLines="100" w:afterLines="100"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w:t>
      </w:r>
    </w:p>
    <w:p w14:paraId="6A7DCEDB">
      <w:pPr>
        <w:spacing w:beforeLines="100" w:afterLines="100" w:line="360" w:lineRule="auto"/>
        <w:jc w:val="center"/>
        <w:rPr>
          <w:rFonts w:hint="eastAsia" w:ascii="宋体" w:hAnsi="宋体" w:eastAsia="宋体" w:cs="宋体"/>
          <w:b/>
          <w:color w:val="auto"/>
          <w:szCs w:val="21"/>
          <w:highlight w:val="none"/>
        </w:rPr>
      </w:pPr>
    </w:p>
    <w:p w14:paraId="1EC3BB51">
      <w:pPr>
        <w:spacing w:beforeLines="100" w:afterLines="100" w:line="360" w:lineRule="auto"/>
        <w:jc w:val="center"/>
        <w:rPr>
          <w:rFonts w:hint="eastAsia" w:ascii="宋体" w:hAnsi="宋体" w:eastAsia="宋体" w:cs="宋体"/>
          <w:b/>
          <w:bCs/>
          <w:color w:val="auto"/>
          <w:highlight w:val="none"/>
        </w:rPr>
      </w:pPr>
      <w:r>
        <w:rPr>
          <w:rFonts w:hint="eastAsia" w:ascii="宋体" w:hAnsi="宋体" w:eastAsia="宋体" w:cs="宋体"/>
          <w:b/>
          <w:color w:val="auto"/>
          <w:szCs w:val="21"/>
          <w:highlight w:val="none"/>
        </w:rPr>
        <w:t xml:space="preserve"> </w:t>
      </w:r>
      <w:r>
        <w:rPr>
          <w:rFonts w:hint="eastAsia" w:ascii="宋体" w:hAnsi="宋体" w:eastAsia="宋体" w:cs="宋体"/>
          <w:b/>
          <w:bCs/>
          <w:color w:val="auto"/>
          <w:highlight w:val="none"/>
        </w:rPr>
        <w:t>中小企业声明函（</w:t>
      </w:r>
      <w:r>
        <w:rPr>
          <w:rFonts w:hint="eastAsia" w:ascii="宋体" w:hAnsi="宋体" w:eastAsia="宋体" w:cs="宋体"/>
          <w:b/>
          <w:bCs/>
          <w:color w:val="auto"/>
          <w:highlight w:val="none"/>
          <w:lang w:val="en-US" w:eastAsia="zh-CN"/>
        </w:rPr>
        <w:t>工程、</w:t>
      </w:r>
      <w:r>
        <w:rPr>
          <w:rFonts w:hint="eastAsia" w:ascii="宋体" w:hAnsi="宋体" w:eastAsia="宋体" w:cs="宋体"/>
          <w:b/>
          <w:bCs/>
          <w:color w:val="auto"/>
          <w:highlight w:val="none"/>
        </w:rPr>
        <w:t>服务）</w:t>
      </w:r>
    </w:p>
    <w:p w14:paraId="70103252">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本公司（联合体）郑重声明，根据《政府采购促进中小企业发展管理办法》（财库﹝2020﹞46 号）的规定，本公司（联合体）参加</w:t>
      </w:r>
      <w:r>
        <w:rPr>
          <w:rFonts w:hint="eastAsia" w:ascii="宋体" w:hAnsi="宋体" w:eastAsia="宋体" w:cs="宋体"/>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color w:val="auto"/>
          <w:highlight w:val="none"/>
          <w:u w:val="single"/>
        </w:rPr>
        <w:t>（项目名称）</w:t>
      </w:r>
      <w:r>
        <w:rPr>
          <w:rFonts w:hint="eastAsia" w:ascii="宋体" w:hAnsi="宋体" w:eastAsia="宋体" w:cs="宋体"/>
          <w:color w:val="auto"/>
          <w:highlight w:val="none"/>
        </w:rPr>
        <w:t>采购活动，服务全部由符合政策要求的中小企业承接。相关企业（含联合体中的中小企业、签订分包意向协议的中小企业）的具体情况如下：</w:t>
      </w:r>
    </w:p>
    <w:p w14:paraId="5ECEC203">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1. </w:t>
      </w:r>
      <w:r>
        <w:rPr>
          <w:rFonts w:hint="eastAsia" w:ascii="宋体" w:hAnsi="宋体" w:eastAsia="宋体" w:cs="宋体"/>
          <w:color w:val="auto"/>
          <w:highlight w:val="none"/>
          <w:u w:val="single"/>
        </w:rPr>
        <w:t xml:space="preserve">（标的名称） </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w:t>
      </w:r>
      <w:r>
        <w:rPr>
          <w:rFonts w:hint="eastAsia" w:ascii="宋体" w:hAnsi="宋体" w:cs="宋体"/>
          <w:color w:val="auto"/>
          <w:highlight w:val="none"/>
          <w:u w:val="single"/>
          <w:lang w:val="en-US" w:eastAsia="zh-CN"/>
        </w:rPr>
        <w:t>其他未列明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；承建（承接）企业为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"br1"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
          <w:highlight w:val="none"/>
          <w:vertAlign w:val="superscript"/>
        </w:rPr>
        <w:t>1</w:t>
      </w:r>
      <w:r>
        <w:rPr>
          <w:rFonts w:hint="eastAsia" w:ascii="宋体" w:hAnsi="宋体" w:eastAsia="宋体" w:cs="宋体"/>
          <w:color w:val="auto"/>
          <w:spacing w:val="-1"/>
          <w:highlight w:val="none"/>
          <w:vertAlign w:val="superscript"/>
        </w:rPr>
        <w:fldChar w:fldCharType="end"/>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（中型企业、小型企业、微型企业）；</w:t>
      </w:r>
    </w:p>
    <w:p w14:paraId="5810592D">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w:t>
      </w:r>
    </w:p>
    <w:p w14:paraId="7E8E5BFD">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14:paraId="5EDC140A">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14:paraId="67D2D7C4">
      <w:pPr>
        <w:spacing w:line="360" w:lineRule="auto"/>
        <w:ind w:firstLine="420" w:firstLineChars="200"/>
        <w:jc w:val="left"/>
        <w:rPr>
          <w:rFonts w:hint="eastAsia" w:ascii="宋体" w:hAnsi="宋体" w:eastAsia="宋体" w:cs="宋体"/>
          <w:color w:val="auto"/>
          <w:highlight w:val="none"/>
        </w:rPr>
      </w:pPr>
    </w:p>
    <w:p w14:paraId="7094F900">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color w:val="auto"/>
          <w:kern w:val="2"/>
          <w:sz w:val="21"/>
          <w:szCs w:val="22"/>
          <w:highlight w:val="none"/>
        </w:rPr>
        <w:t>注：</w:t>
      </w:r>
      <w:r>
        <w:rPr>
          <w:rFonts w:hint="eastAsia" w:ascii="宋体" w:hAnsi="宋体" w:eastAsia="宋体" w:cs="宋体"/>
          <w:color w:val="auto"/>
          <w:kern w:val="2"/>
          <w:sz w:val="21"/>
          <w:szCs w:val="22"/>
          <w:highlight w:val="none"/>
          <w:lang w:val="en-US" w:eastAsia="zh-CN"/>
        </w:rPr>
        <w:t>1.</w:t>
      </w:r>
      <w:r>
        <w:rPr>
          <w:rFonts w:hint="eastAsia" w:ascii="宋体" w:hAnsi="宋体" w:eastAsia="宋体" w:cs="宋体"/>
          <w:color w:val="auto"/>
          <w:highlight w:val="none"/>
        </w:rPr>
        <w:t>从业人员（不仅指在职职工）、营业收入、资产总额填报上一年度数据，无上一年度数据的新成立企业可不填报。</w:t>
      </w:r>
    </w:p>
    <w:p w14:paraId="7B6DB1F5">
      <w:pPr>
        <w:numPr>
          <w:ilvl w:val="0"/>
          <w:numId w:val="0"/>
        </w:numPr>
        <w:spacing w:line="360" w:lineRule="auto"/>
        <w:ind w:firstLine="420" w:firstLineChars="200"/>
        <w:rPr>
          <w:rFonts w:hint="eastAsia" w:ascii="Times New Roman" w:hAnsi="Times New Roman" w:eastAsia="宋体" w:cs="宋体"/>
          <w:color w:val="auto"/>
          <w:highlight w:val="none"/>
        </w:rPr>
      </w:pPr>
      <w:r>
        <w:rPr>
          <w:rFonts w:hint="eastAsia" w:ascii="宋体" w:hAnsi="宋体" w:eastAsia="宋体" w:cs="宋体"/>
          <w:color w:val="auto"/>
          <w:highlight w:val="none"/>
          <w:lang w:val="en-US" w:eastAsia="zh-CN"/>
        </w:rPr>
        <w:t>2</w:t>
      </w:r>
      <w:r>
        <w:rPr>
          <w:rFonts w:hint="eastAsia" w:ascii="Times New Roman" w:hAnsi="Times New Roman" w:eastAsia="宋体" w:cs="宋体"/>
          <w:color w:val="auto"/>
          <w:highlight w:val="none"/>
          <w:lang w:val="en-US" w:eastAsia="zh-CN"/>
        </w:rPr>
        <w:t>.</w:t>
      </w:r>
      <w:r>
        <w:rPr>
          <w:rFonts w:hint="eastAsia" w:ascii="Times New Roman" w:hAnsi="Times New Roman" w:eastAsia="宋体" w:cs="宋体"/>
          <w:color w:val="auto"/>
          <w:highlight w:val="none"/>
        </w:rPr>
        <w:t>《中小企业声明函》不符合要求或未提供的，作如下处理：①如本项目专门面向中小企业采购，则投标（响应）文件无效；②如本项目不专门面向中小企业采购，则价格将不做相应扣除。</w:t>
      </w:r>
    </w:p>
    <w:p w14:paraId="37525BD4">
      <w:pPr>
        <w:numPr>
          <w:ilvl w:val="0"/>
          <w:numId w:val="0"/>
        </w:num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ascii="Times New Roman" w:hAnsi="Times New Roman" w:eastAsia="宋体" w:cs="宋体"/>
          <w:color w:val="auto"/>
          <w:highlight w:val="none"/>
        </w:rPr>
        <w:t>货物采购项目中，货物制造商应当为中小微企业。</w:t>
      </w:r>
    </w:p>
    <w:p w14:paraId="322671E0">
      <w:pPr>
        <w:numPr>
          <w:ilvl w:val="0"/>
          <w:numId w:val="0"/>
        </w:num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企业声明函请完整填写，中标（成交）后将公示。</w:t>
      </w:r>
    </w:p>
    <w:p w14:paraId="5B8F8AAB">
      <w:pPr>
        <w:numPr>
          <w:ilvl w:val="0"/>
          <w:numId w:val="0"/>
        </w:num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供应商应当对其出具的《中小企业声明函》真实性负责，供应商出具的《中小企业声明函》内容不实的，属于提供虚假材料谋取中标（成交）。对相关制造商信息了解不充分，或者不能确定相关信息真实、准确的，不建议出具《中小企业声明函》。</w:t>
      </w:r>
    </w:p>
    <w:p w14:paraId="2C28E619">
      <w:pPr>
        <w:numPr>
          <w:ilvl w:val="0"/>
          <w:numId w:val="0"/>
        </w:num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中小企业不得属于大企业的分支机构，不得存在控股股东为大企业的情形，不得存在与大企业的负责人为同一人的情形。</w:t>
      </w:r>
    </w:p>
    <w:p w14:paraId="1CF3E0CB">
      <w:pPr>
        <w:numPr>
          <w:ilvl w:val="0"/>
          <w:numId w:val="0"/>
        </w:num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政府采购法》第七十七条第一款：提供虚假材料谋取中标、成交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BADD967">
      <w:pPr>
        <w:spacing w:line="360" w:lineRule="auto"/>
        <w:ind w:firstLine="4620" w:firstLineChars="2200"/>
        <w:jc w:val="left"/>
        <w:rPr>
          <w:rFonts w:hint="eastAsia" w:ascii="宋体" w:hAnsi="宋体" w:eastAsia="宋体" w:cs="宋体"/>
          <w:color w:val="auto"/>
          <w:highlight w:val="none"/>
        </w:rPr>
      </w:pPr>
      <w:r>
        <w:rPr>
          <w:rFonts w:hint="eastAsia" w:ascii="宋体" w:hAnsi="宋体" w:eastAsia="宋体" w:cs="宋体"/>
          <w:color w:val="auto"/>
          <w:highlight w:val="none"/>
        </w:rPr>
        <w:t>企业名称（盖章）：</w:t>
      </w:r>
    </w:p>
    <w:p w14:paraId="388E6D53">
      <w:pPr>
        <w:spacing w:line="360" w:lineRule="auto"/>
        <w:ind w:firstLine="4620" w:firstLineChars="2200"/>
        <w:jc w:val="left"/>
        <w:rPr>
          <w:rFonts w:hint="eastAsia" w:ascii="宋体" w:hAnsi="宋体" w:eastAsia="宋体" w:cs="宋体"/>
          <w:color w:val="auto"/>
          <w:highlight w:val="none"/>
        </w:rPr>
      </w:pPr>
      <w:r>
        <w:rPr>
          <w:rFonts w:hint="eastAsia" w:ascii="宋体" w:hAnsi="宋体" w:eastAsia="宋体" w:cs="宋体"/>
          <w:color w:val="auto"/>
          <w:highlight w:val="none"/>
        </w:rPr>
        <w:t>日 期：</w:t>
      </w:r>
    </w:p>
    <w:p w14:paraId="455BD69D">
      <w:pPr>
        <w:pStyle w:val="12"/>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color w:val="auto"/>
          <w:sz w:val="21"/>
          <w:szCs w:val="21"/>
          <w:highlight w:val="none"/>
        </w:rPr>
      </w:pPr>
      <w:bookmarkStart w:id="158" w:name="_Toc109304977"/>
      <w:bookmarkStart w:id="159" w:name="_Toc16044"/>
      <w:r>
        <w:rPr>
          <w:rFonts w:hint="eastAsia" w:ascii="宋体" w:hAnsi="宋体" w:eastAsia="宋体" w:cs="宋体"/>
          <w:color w:val="auto"/>
          <w:sz w:val="21"/>
          <w:szCs w:val="21"/>
          <w:highlight w:val="none"/>
        </w:rPr>
        <w:t>中小微企业划型标准</w:t>
      </w:r>
      <w:bookmarkEnd w:id="158"/>
      <w:bookmarkEnd w:id="159"/>
    </w:p>
    <w:p w14:paraId="56028302">
      <w:pPr>
        <w:pStyle w:val="29"/>
        <w:pageBreakBefore w:val="0"/>
        <w:widowControl/>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r>
        <w:rPr>
          <w:rStyle w:val="36"/>
          <w:rFonts w:hint="eastAsia" w:ascii="宋体" w:hAnsi="宋体" w:eastAsia="宋体" w:cs="宋体"/>
          <w:color w:val="auto"/>
          <w:sz w:val="21"/>
          <w:szCs w:val="21"/>
          <w:highlight w:val="none"/>
        </w:rPr>
        <w:t>中小微企业划型标准如下：</w:t>
      </w:r>
    </w:p>
    <w:tbl>
      <w:tblPr>
        <w:tblStyle w:val="33"/>
        <w:tblW w:w="9638" w:type="dxa"/>
        <w:jc w:val="center"/>
        <w:tblCellSpacing w:w="15" w:type="dxa"/>
        <w:tblBorders>
          <w:top w:val="single" w:color="999999" w:sz="6" w:space="0"/>
          <w:left w:val="single" w:color="999999" w:sz="6"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89"/>
        <w:gridCol w:w="1840"/>
        <w:gridCol w:w="1138"/>
        <w:gridCol w:w="2071"/>
        <w:gridCol w:w="1802"/>
        <w:gridCol w:w="1398"/>
      </w:tblGrid>
      <w:tr w14:paraId="0291AA2A">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blCellSpacing w:w="15" w:type="dxa"/>
          <w:jc w:val="center"/>
        </w:trPr>
        <w:tc>
          <w:tcPr>
            <w:tcW w:w="1344"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4120AD2">
            <w:pPr>
              <w:pStyle w:val="29"/>
              <w:spacing w:after="150" w:line="360" w:lineRule="auto"/>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行业名称</w:t>
            </w:r>
          </w:p>
        </w:tc>
        <w:tc>
          <w:tcPr>
            <w:tcW w:w="1810" w:type="dxa"/>
            <w:tcBorders>
              <w:top w:val="single" w:color="auto" w:sz="6" w:space="0"/>
              <w:left w:val="nil"/>
              <w:bottom w:val="single" w:color="999999" w:sz="6" w:space="0"/>
              <w:right w:val="single" w:color="999999" w:sz="6" w:space="0"/>
            </w:tcBorders>
            <w:noWrap w:val="0"/>
            <w:tcMar>
              <w:top w:w="0" w:type="dxa"/>
              <w:left w:w="105" w:type="dxa"/>
              <w:bottom w:w="0" w:type="dxa"/>
              <w:right w:w="105" w:type="dxa"/>
            </w:tcMar>
            <w:vAlign w:val="center"/>
          </w:tcPr>
          <w:p w14:paraId="676DA60A">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指标名称</w:t>
            </w:r>
          </w:p>
        </w:tc>
        <w:tc>
          <w:tcPr>
            <w:tcW w:w="1108" w:type="dxa"/>
            <w:tcBorders>
              <w:top w:val="single" w:color="auto" w:sz="6" w:space="0"/>
              <w:left w:val="nil"/>
              <w:bottom w:val="single" w:color="999999" w:sz="6" w:space="0"/>
              <w:right w:val="single" w:color="999999" w:sz="6" w:space="0"/>
            </w:tcBorders>
            <w:noWrap w:val="0"/>
            <w:tcMar>
              <w:top w:w="0" w:type="dxa"/>
              <w:left w:w="105" w:type="dxa"/>
              <w:bottom w:w="0" w:type="dxa"/>
              <w:right w:w="105" w:type="dxa"/>
            </w:tcMar>
            <w:vAlign w:val="center"/>
          </w:tcPr>
          <w:p w14:paraId="5D3711EE">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计量单位</w:t>
            </w:r>
          </w:p>
        </w:tc>
        <w:tc>
          <w:tcPr>
            <w:tcW w:w="2041" w:type="dxa"/>
            <w:tcBorders>
              <w:top w:val="single" w:color="auto" w:sz="6" w:space="0"/>
              <w:left w:val="nil"/>
              <w:bottom w:val="single" w:color="999999" w:sz="6" w:space="0"/>
              <w:right w:val="single" w:color="999999" w:sz="6" w:space="0"/>
            </w:tcBorders>
            <w:noWrap w:val="0"/>
            <w:tcMar>
              <w:top w:w="0" w:type="dxa"/>
              <w:left w:w="105" w:type="dxa"/>
              <w:bottom w:w="0" w:type="dxa"/>
              <w:right w:w="105" w:type="dxa"/>
            </w:tcMar>
            <w:vAlign w:val="center"/>
          </w:tcPr>
          <w:p w14:paraId="7950D464">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中型</w:t>
            </w:r>
          </w:p>
        </w:tc>
        <w:tc>
          <w:tcPr>
            <w:tcW w:w="1772" w:type="dxa"/>
            <w:tcBorders>
              <w:top w:val="single" w:color="auto" w:sz="6" w:space="0"/>
              <w:left w:val="nil"/>
              <w:bottom w:val="single" w:color="999999" w:sz="6" w:space="0"/>
              <w:right w:val="single" w:color="999999" w:sz="6" w:space="0"/>
            </w:tcBorders>
            <w:noWrap w:val="0"/>
            <w:tcMar>
              <w:top w:w="0" w:type="dxa"/>
              <w:left w:w="105" w:type="dxa"/>
              <w:bottom w:w="0" w:type="dxa"/>
              <w:right w:w="105" w:type="dxa"/>
            </w:tcMar>
            <w:vAlign w:val="center"/>
          </w:tcPr>
          <w:p w14:paraId="14F5FBFB">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小型</w:t>
            </w:r>
          </w:p>
        </w:tc>
        <w:tc>
          <w:tcPr>
            <w:tcW w:w="1353" w:type="dxa"/>
            <w:tcBorders>
              <w:top w:val="single" w:color="auto" w:sz="6" w:space="0"/>
              <w:left w:val="nil"/>
              <w:bottom w:val="single" w:color="999999" w:sz="6" w:space="0"/>
              <w:right w:val="single" w:color="999999" w:sz="6" w:space="0"/>
            </w:tcBorders>
            <w:noWrap w:val="0"/>
            <w:tcMar>
              <w:top w:w="0" w:type="dxa"/>
              <w:left w:w="105" w:type="dxa"/>
              <w:bottom w:w="0" w:type="dxa"/>
              <w:right w:w="105" w:type="dxa"/>
            </w:tcMar>
            <w:vAlign w:val="center"/>
          </w:tcPr>
          <w:p w14:paraId="6B629F31">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微型</w:t>
            </w:r>
          </w:p>
        </w:tc>
      </w:tr>
      <w:tr w14:paraId="7050A752">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blCellSpacing w:w="15" w:type="dxa"/>
          <w:jc w:val="center"/>
        </w:trPr>
        <w:tc>
          <w:tcPr>
            <w:tcW w:w="1344" w:type="dxa"/>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19854F6B">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b/>
                <w:bCs/>
                <w:color w:val="auto"/>
                <w:spacing w:val="-23"/>
                <w:sz w:val="21"/>
                <w:szCs w:val="21"/>
                <w:highlight w:val="none"/>
              </w:rPr>
              <w:t>农、林、牧、渔</w:t>
            </w:r>
          </w:p>
        </w:tc>
        <w:tc>
          <w:tcPr>
            <w:tcW w:w="181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BCBE28C">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营业收入（Y）</w:t>
            </w:r>
          </w:p>
        </w:tc>
        <w:tc>
          <w:tcPr>
            <w:tcW w:w="1108"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818B544">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万元</w:t>
            </w:r>
          </w:p>
        </w:tc>
        <w:tc>
          <w:tcPr>
            <w:tcW w:w="204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D2312FA">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500≤Y＜20000</w:t>
            </w:r>
          </w:p>
        </w:tc>
        <w:tc>
          <w:tcPr>
            <w:tcW w:w="1772"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3D5BE90">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50≤Y＜500</w:t>
            </w:r>
          </w:p>
        </w:tc>
        <w:tc>
          <w:tcPr>
            <w:tcW w:w="135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D678489">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Y＜50</w:t>
            </w:r>
          </w:p>
        </w:tc>
      </w:tr>
      <w:tr w14:paraId="79263B61">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blCellSpacing w:w="15" w:type="dxa"/>
          <w:jc w:val="center"/>
        </w:trPr>
        <w:tc>
          <w:tcPr>
            <w:tcW w:w="1344"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0A13E73A">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工业</w:t>
            </w:r>
          </w:p>
        </w:tc>
        <w:tc>
          <w:tcPr>
            <w:tcW w:w="181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9FD3528">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从业人员（X）</w:t>
            </w:r>
          </w:p>
        </w:tc>
        <w:tc>
          <w:tcPr>
            <w:tcW w:w="1108"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69C0BB8">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人</w:t>
            </w:r>
          </w:p>
        </w:tc>
        <w:tc>
          <w:tcPr>
            <w:tcW w:w="204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F776391">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300≤X＜1000</w:t>
            </w:r>
          </w:p>
        </w:tc>
        <w:tc>
          <w:tcPr>
            <w:tcW w:w="1772"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D9AEC57">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20≤X＜300</w:t>
            </w:r>
          </w:p>
        </w:tc>
        <w:tc>
          <w:tcPr>
            <w:tcW w:w="135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71A246F">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X＜20</w:t>
            </w:r>
          </w:p>
        </w:tc>
      </w:tr>
      <w:tr w14:paraId="35DECD17">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blCellSpacing w:w="15" w:type="dxa"/>
          <w:jc w:val="center"/>
        </w:trPr>
        <w:tc>
          <w:tcPr>
            <w:tcW w:w="1344" w:type="dxa"/>
            <w:vMerge w:val="continue"/>
            <w:tcBorders>
              <w:top w:val="nil"/>
              <w:left w:val="single" w:color="auto" w:sz="6" w:space="0"/>
              <w:bottom w:val="single" w:color="999999" w:sz="6" w:space="0"/>
              <w:right w:val="single" w:color="999999" w:sz="6" w:space="0"/>
            </w:tcBorders>
            <w:noWrap w:val="0"/>
            <w:vAlign w:val="center"/>
          </w:tcPr>
          <w:p w14:paraId="7EDB83B3">
            <w:pPr>
              <w:widowControl/>
              <w:spacing w:line="360" w:lineRule="auto"/>
              <w:jc w:val="center"/>
              <w:rPr>
                <w:rFonts w:hint="eastAsia" w:ascii="宋体" w:hAnsi="宋体" w:eastAsia="宋体" w:cs="宋体"/>
                <w:color w:val="auto"/>
                <w:kern w:val="0"/>
                <w:szCs w:val="21"/>
                <w:highlight w:val="none"/>
              </w:rPr>
            </w:pPr>
          </w:p>
        </w:tc>
        <w:tc>
          <w:tcPr>
            <w:tcW w:w="181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9C2CE09">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营业收入（Y）</w:t>
            </w:r>
          </w:p>
        </w:tc>
        <w:tc>
          <w:tcPr>
            <w:tcW w:w="1108"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27C69F7">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万元</w:t>
            </w:r>
          </w:p>
        </w:tc>
        <w:tc>
          <w:tcPr>
            <w:tcW w:w="204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3AF62EC">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2000≤Y＜40000</w:t>
            </w:r>
          </w:p>
        </w:tc>
        <w:tc>
          <w:tcPr>
            <w:tcW w:w="1772"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7AE0C77">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300≤Y＜2000</w:t>
            </w:r>
          </w:p>
        </w:tc>
        <w:tc>
          <w:tcPr>
            <w:tcW w:w="135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1557603">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Y＜300</w:t>
            </w:r>
          </w:p>
        </w:tc>
      </w:tr>
      <w:tr w14:paraId="40DB6F35">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blCellSpacing w:w="15" w:type="dxa"/>
          <w:jc w:val="center"/>
        </w:trPr>
        <w:tc>
          <w:tcPr>
            <w:tcW w:w="1344"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5E5DE64C">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建筑业</w:t>
            </w:r>
          </w:p>
        </w:tc>
        <w:tc>
          <w:tcPr>
            <w:tcW w:w="181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C1D4AF0">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营业收入（Y）</w:t>
            </w:r>
          </w:p>
        </w:tc>
        <w:tc>
          <w:tcPr>
            <w:tcW w:w="1108"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85C7764">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万元</w:t>
            </w:r>
          </w:p>
        </w:tc>
        <w:tc>
          <w:tcPr>
            <w:tcW w:w="204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F52193E">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6000≤Y＜80000</w:t>
            </w:r>
          </w:p>
        </w:tc>
        <w:tc>
          <w:tcPr>
            <w:tcW w:w="1772"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59F0479">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300≤Y＜6000</w:t>
            </w:r>
          </w:p>
        </w:tc>
        <w:tc>
          <w:tcPr>
            <w:tcW w:w="135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DBCCD11">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Y＜300</w:t>
            </w:r>
          </w:p>
        </w:tc>
      </w:tr>
      <w:tr w14:paraId="083C15B4">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blCellSpacing w:w="15" w:type="dxa"/>
          <w:jc w:val="center"/>
        </w:trPr>
        <w:tc>
          <w:tcPr>
            <w:tcW w:w="1344" w:type="dxa"/>
            <w:vMerge w:val="continue"/>
            <w:tcBorders>
              <w:top w:val="nil"/>
              <w:left w:val="single" w:color="auto" w:sz="6" w:space="0"/>
              <w:bottom w:val="single" w:color="999999" w:sz="6" w:space="0"/>
              <w:right w:val="single" w:color="999999" w:sz="6" w:space="0"/>
            </w:tcBorders>
            <w:noWrap w:val="0"/>
            <w:vAlign w:val="center"/>
          </w:tcPr>
          <w:p w14:paraId="1C7E7E7A">
            <w:pPr>
              <w:widowControl/>
              <w:spacing w:line="360" w:lineRule="auto"/>
              <w:jc w:val="center"/>
              <w:rPr>
                <w:rFonts w:hint="eastAsia" w:ascii="宋体" w:hAnsi="宋体" w:eastAsia="宋体" w:cs="宋体"/>
                <w:color w:val="auto"/>
                <w:kern w:val="0"/>
                <w:szCs w:val="21"/>
                <w:highlight w:val="none"/>
              </w:rPr>
            </w:pPr>
          </w:p>
        </w:tc>
        <w:tc>
          <w:tcPr>
            <w:tcW w:w="181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E6C072B">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资产总额（Z）</w:t>
            </w:r>
          </w:p>
        </w:tc>
        <w:tc>
          <w:tcPr>
            <w:tcW w:w="1108"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3EC1C48">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万元</w:t>
            </w:r>
          </w:p>
        </w:tc>
        <w:tc>
          <w:tcPr>
            <w:tcW w:w="204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7DF9690">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5000≤Z＜80000</w:t>
            </w:r>
          </w:p>
        </w:tc>
        <w:tc>
          <w:tcPr>
            <w:tcW w:w="1772"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418C978">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300≤Z＜5000</w:t>
            </w:r>
          </w:p>
        </w:tc>
        <w:tc>
          <w:tcPr>
            <w:tcW w:w="135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832B1EA">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Z＜300</w:t>
            </w:r>
          </w:p>
        </w:tc>
      </w:tr>
      <w:tr w14:paraId="646FB7BD">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blCellSpacing w:w="15" w:type="dxa"/>
          <w:jc w:val="center"/>
        </w:trPr>
        <w:tc>
          <w:tcPr>
            <w:tcW w:w="1344"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6E03BE83">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批发业</w:t>
            </w:r>
          </w:p>
        </w:tc>
        <w:tc>
          <w:tcPr>
            <w:tcW w:w="181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190EBCD">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从业人员（X）</w:t>
            </w:r>
          </w:p>
        </w:tc>
        <w:tc>
          <w:tcPr>
            <w:tcW w:w="1108"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91A476F">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人</w:t>
            </w:r>
          </w:p>
        </w:tc>
        <w:tc>
          <w:tcPr>
            <w:tcW w:w="204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B476DB7">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20≤X＜200</w:t>
            </w:r>
          </w:p>
        </w:tc>
        <w:tc>
          <w:tcPr>
            <w:tcW w:w="1772"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AFD0A99">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5≤X＜20</w:t>
            </w:r>
          </w:p>
        </w:tc>
        <w:tc>
          <w:tcPr>
            <w:tcW w:w="135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95ECC0C">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X＜5</w:t>
            </w:r>
          </w:p>
        </w:tc>
      </w:tr>
      <w:tr w14:paraId="11854E16">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blCellSpacing w:w="15" w:type="dxa"/>
          <w:jc w:val="center"/>
        </w:trPr>
        <w:tc>
          <w:tcPr>
            <w:tcW w:w="1344" w:type="dxa"/>
            <w:vMerge w:val="continue"/>
            <w:tcBorders>
              <w:top w:val="nil"/>
              <w:left w:val="single" w:color="auto" w:sz="6" w:space="0"/>
              <w:bottom w:val="single" w:color="999999" w:sz="6" w:space="0"/>
              <w:right w:val="single" w:color="999999" w:sz="6" w:space="0"/>
            </w:tcBorders>
            <w:noWrap w:val="0"/>
            <w:vAlign w:val="center"/>
          </w:tcPr>
          <w:p w14:paraId="56A31B0D">
            <w:pPr>
              <w:widowControl/>
              <w:spacing w:line="360" w:lineRule="auto"/>
              <w:jc w:val="center"/>
              <w:rPr>
                <w:rFonts w:hint="eastAsia" w:ascii="宋体" w:hAnsi="宋体" w:eastAsia="宋体" w:cs="宋体"/>
                <w:color w:val="auto"/>
                <w:kern w:val="0"/>
                <w:szCs w:val="21"/>
                <w:highlight w:val="none"/>
              </w:rPr>
            </w:pPr>
          </w:p>
        </w:tc>
        <w:tc>
          <w:tcPr>
            <w:tcW w:w="181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0748C1C">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营业收入（Y）</w:t>
            </w:r>
          </w:p>
        </w:tc>
        <w:tc>
          <w:tcPr>
            <w:tcW w:w="1108"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1801ACE">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万元</w:t>
            </w:r>
          </w:p>
        </w:tc>
        <w:tc>
          <w:tcPr>
            <w:tcW w:w="204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2423D7A">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5000≤Y＜40000</w:t>
            </w:r>
          </w:p>
        </w:tc>
        <w:tc>
          <w:tcPr>
            <w:tcW w:w="1772"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C8B367E">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1000≤Y＜5000</w:t>
            </w:r>
          </w:p>
        </w:tc>
        <w:tc>
          <w:tcPr>
            <w:tcW w:w="135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16AAB09">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Y＜1000</w:t>
            </w:r>
          </w:p>
        </w:tc>
      </w:tr>
      <w:tr w14:paraId="57BEA83C">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blCellSpacing w:w="15" w:type="dxa"/>
          <w:jc w:val="center"/>
        </w:trPr>
        <w:tc>
          <w:tcPr>
            <w:tcW w:w="1344"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60851408">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零售业</w:t>
            </w:r>
          </w:p>
        </w:tc>
        <w:tc>
          <w:tcPr>
            <w:tcW w:w="181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0CDA301">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从业人员（X）</w:t>
            </w:r>
          </w:p>
        </w:tc>
        <w:tc>
          <w:tcPr>
            <w:tcW w:w="1108"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4A1DC1F">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人</w:t>
            </w:r>
          </w:p>
        </w:tc>
        <w:tc>
          <w:tcPr>
            <w:tcW w:w="204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156F917">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50≤X＜300</w:t>
            </w:r>
          </w:p>
        </w:tc>
        <w:tc>
          <w:tcPr>
            <w:tcW w:w="1772"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2A9F70D">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10≤X＜50</w:t>
            </w:r>
          </w:p>
        </w:tc>
        <w:tc>
          <w:tcPr>
            <w:tcW w:w="135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6027DBE">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X＜10</w:t>
            </w:r>
          </w:p>
        </w:tc>
      </w:tr>
      <w:tr w14:paraId="72A2E3C7">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blCellSpacing w:w="15" w:type="dxa"/>
          <w:jc w:val="center"/>
        </w:trPr>
        <w:tc>
          <w:tcPr>
            <w:tcW w:w="1344" w:type="dxa"/>
            <w:vMerge w:val="continue"/>
            <w:tcBorders>
              <w:top w:val="nil"/>
              <w:left w:val="single" w:color="auto" w:sz="6" w:space="0"/>
              <w:bottom w:val="single" w:color="999999" w:sz="6" w:space="0"/>
              <w:right w:val="single" w:color="999999" w:sz="6" w:space="0"/>
            </w:tcBorders>
            <w:noWrap w:val="0"/>
            <w:vAlign w:val="center"/>
          </w:tcPr>
          <w:p w14:paraId="18A12F86">
            <w:pPr>
              <w:widowControl/>
              <w:spacing w:line="360" w:lineRule="auto"/>
              <w:jc w:val="center"/>
              <w:rPr>
                <w:rFonts w:hint="eastAsia" w:ascii="宋体" w:hAnsi="宋体" w:eastAsia="宋体" w:cs="宋体"/>
                <w:color w:val="auto"/>
                <w:kern w:val="0"/>
                <w:szCs w:val="21"/>
                <w:highlight w:val="none"/>
              </w:rPr>
            </w:pPr>
          </w:p>
        </w:tc>
        <w:tc>
          <w:tcPr>
            <w:tcW w:w="181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5B38CCE">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营业收入（Y）</w:t>
            </w:r>
          </w:p>
        </w:tc>
        <w:tc>
          <w:tcPr>
            <w:tcW w:w="1108"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5E8CF7C">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万元</w:t>
            </w:r>
          </w:p>
        </w:tc>
        <w:tc>
          <w:tcPr>
            <w:tcW w:w="204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096F834">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500≤Y＜20000</w:t>
            </w:r>
          </w:p>
        </w:tc>
        <w:tc>
          <w:tcPr>
            <w:tcW w:w="1772"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5DACAD5">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100≤Y＜500</w:t>
            </w:r>
          </w:p>
        </w:tc>
        <w:tc>
          <w:tcPr>
            <w:tcW w:w="135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D0C967E">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Y＜100</w:t>
            </w:r>
          </w:p>
        </w:tc>
      </w:tr>
      <w:tr w14:paraId="19EA8784">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blCellSpacing w:w="15" w:type="dxa"/>
          <w:jc w:val="center"/>
        </w:trPr>
        <w:tc>
          <w:tcPr>
            <w:tcW w:w="1344"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3027DB4F">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交通运输业</w:t>
            </w:r>
          </w:p>
        </w:tc>
        <w:tc>
          <w:tcPr>
            <w:tcW w:w="181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FA76C6A">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从业人员（X）</w:t>
            </w:r>
          </w:p>
        </w:tc>
        <w:tc>
          <w:tcPr>
            <w:tcW w:w="1108"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A0AF27A">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人</w:t>
            </w:r>
          </w:p>
        </w:tc>
        <w:tc>
          <w:tcPr>
            <w:tcW w:w="204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E0F04FA">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300≤X＜1000</w:t>
            </w:r>
          </w:p>
        </w:tc>
        <w:tc>
          <w:tcPr>
            <w:tcW w:w="1772"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103A56E">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20≤X＜300</w:t>
            </w:r>
          </w:p>
        </w:tc>
        <w:tc>
          <w:tcPr>
            <w:tcW w:w="135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D4F29FA">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X＜20</w:t>
            </w:r>
          </w:p>
        </w:tc>
      </w:tr>
      <w:tr w14:paraId="2E4F1D85">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blCellSpacing w:w="15" w:type="dxa"/>
          <w:jc w:val="center"/>
        </w:trPr>
        <w:tc>
          <w:tcPr>
            <w:tcW w:w="1344" w:type="dxa"/>
            <w:vMerge w:val="continue"/>
            <w:tcBorders>
              <w:top w:val="nil"/>
              <w:left w:val="single" w:color="auto" w:sz="6" w:space="0"/>
              <w:bottom w:val="single" w:color="999999" w:sz="6" w:space="0"/>
              <w:right w:val="single" w:color="999999" w:sz="6" w:space="0"/>
            </w:tcBorders>
            <w:noWrap w:val="0"/>
            <w:vAlign w:val="center"/>
          </w:tcPr>
          <w:p w14:paraId="3D79CA83">
            <w:pPr>
              <w:widowControl/>
              <w:spacing w:line="360" w:lineRule="auto"/>
              <w:jc w:val="center"/>
              <w:rPr>
                <w:rFonts w:hint="eastAsia" w:ascii="宋体" w:hAnsi="宋体" w:eastAsia="宋体" w:cs="宋体"/>
                <w:color w:val="auto"/>
                <w:kern w:val="0"/>
                <w:szCs w:val="21"/>
                <w:highlight w:val="none"/>
              </w:rPr>
            </w:pPr>
          </w:p>
        </w:tc>
        <w:tc>
          <w:tcPr>
            <w:tcW w:w="181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751BF32">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营业收入（Y）</w:t>
            </w:r>
          </w:p>
        </w:tc>
        <w:tc>
          <w:tcPr>
            <w:tcW w:w="1108"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38128FE">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万元</w:t>
            </w:r>
          </w:p>
        </w:tc>
        <w:tc>
          <w:tcPr>
            <w:tcW w:w="204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3013DDD">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3000≤Y＜30000</w:t>
            </w:r>
          </w:p>
        </w:tc>
        <w:tc>
          <w:tcPr>
            <w:tcW w:w="1772"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D22A046">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200≤Y＜3000</w:t>
            </w:r>
          </w:p>
        </w:tc>
        <w:tc>
          <w:tcPr>
            <w:tcW w:w="135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F8182CA">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Y＜200</w:t>
            </w:r>
          </w:p>
        </w:tc>
      </w:tr>
      <w:tr w14:paraId="5A3D55FB">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blCellSpacing w:w="15" w:type="dxa"/>
          <w:jc w:val="center"/>
        </w:trPr>
        <w:tc>
          <w:tcPr>
            <w:tcW w:w="1344"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38FB57CC">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仓储业</w:t>
            </w:r>
          </w:p>
        </w:tc>
        <w:tc>
          <w:tcPr>
            <w:tcW w:w="181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5817AB6">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从业人员（X）</w:t>
            </w:r>
          </w:p>
        </w:tc>
        <w:tc>
          <w:tcPr>
            <w:tcW w:w="1108"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F98B132">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人</w:t>
            </w:r>
          </w:p>
        </w:tc>
        <w:tc>
          <w:tcPr>
            <w:tcW w:w="204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65185B3">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100≤X＜200</w:t>
            </w:r>
          </w:p>
        </w:tc>
        <w:tc>
          <w:tcPr>
            <w:tcW w:w="1772"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19C3595">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20≤X＜100</w:t>
            </w:r>
          </w:p>
        </w:tc>
        <w:tc>
          <w:tcPr>
            <w:tcW w:w="135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A980A71">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X＜20</w:t>
            </w:r>
          </w:p>
        </w:tc>
      </w:tr>
      <w:tr w14:paraId="48F8D2DC">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blCellSpacing w:w="15" w:type="dxa"/>
          <w:jc w:val="center"/>
        </w:trPr>
        <w:tc>
          <w:tcPr>
            <w:tcW w:w="1344" w:type="dxa"/>
            <w:vMerge w:val="continue"/>
            <w:tcBorders>
              <w:top w:val="nil"/>
              <w:left w:val="single" w:color="auto" w:sz="6" w:space="0"/>
              <w:bottom w:val="single" w:color="999999" w:sz="6" w:space="0"/>
              <w:right w:val="single" w:color="999999" w:sz="6" w:space="0"/>
            </w:tcBorders>
            <w:noWrap w:val="0"/>
            <w:vAlign w:val="center"/>
          </w:tcPr>
          <w:p w14:paraId="3F1035BD">
            <w:pPr>
              <w:widowControl/>
              <w:spacing w:line="360" w:lineRule="auto"/>
              <w:jc w:val="center"/>
              <w:rPr>
                <w:rFonts w:hint="eastAsia" w:ascii="宋体" w:hAnsi="宋体" w:eastAsia="宋体" w:cs="宋体"/>
                <w:color w:val="auto"/>
                <w:kern w:val="0"/>
                <w:szCs w:val="21"/>
                <w:highlight w:val="none"/>
              </w:rPr>
            </w:pPr>
          </w:p>
        </w:tc>
        <w:tc>
          <w:tcPr>
            <w:tcW w:w="181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57D7933">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营业收入（Y）</w:t>
            </w:r>
          </w:p>
        </w:tc>
        <w:tc>
          <w:tcPr>
            <w:tcW w:w="1108"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0E8214B">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万元</w:t>
            </w:r>
          </w:p>
        </w:tc>
        <w:tc>
          <w:tcPr>
            <w:tcW w:w="204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9461598">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1000≤Y＜30000</w:t>
            </w:r>
          </w:p>
        </w:tc>
        <w:tc>
          <w:tcPr>
            <w:tcW w:w="1772"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B851FF5">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100≤Y＜1000</w:t>
            </w:r>
          </w:p>
        </w:tc>
        <w:tc>
          <w:tcPr>
            <w:tcW w:w="135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4AC71A6">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Y＜100</w:t>
            </w:r>
          </w:p>
        </w:tc>
      </w:tr>
      <w:tr w14:paraId="23561DC5">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blCellSpacing w:w="15" w:type="dxa"/>
          <w:jc w:val="center"/>
        </w:trPr>
        <w:tc>
          <w:tcPr>
            <w:tcW w:w="1344"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05961FA6">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邮政业</w:t>
            </w:r>
          </w:p>
        </w:tc>
        <w:tc>
          <w:tcPr>
            <w:tcW w:w="181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569E3DE">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从业人员（X）</w:t>
            </w:r>
          </w:p>
        </w:tc>
        <w:tc>
          <w:tcPr>
            <w:tcW w:w="1108"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0B84C49">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人</w:t>
            </w:r>
          </w:p>
        </w:tc>
        <w:tc>
          <w:tcPr>
            <w:tcW w:w="204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7E2AC44">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300≤X＜1000</w:t>
            </w:r>
          </w:p>
        </w:tc>
        <w:tc>
          <w:tcPr>
            <w:tcW w:w="1772"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EB586A9">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20≤X＜300</w:t>
            </w:r>
          </w:p>
        </w:tc>
        <w:tc>
          <w:tcPr>
            <w:tcW w:w="135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1354488">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X＜20</w:t>
            </w:r>
          </w:p>
        </w:tc>
      </w:tr>
      <w:tr w14:paraId="5655DD56">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blCellSpacing w:w="15" w:type="dxa"/>
          <w:jc w:val="center"/>
        </w:trPr>
        <w:tc>
          <w:tcPr>
            <w:tcW w:w="1344" w:type="dxa"/>
            <w:vMerge w:val="continue"/>
            <w:tcBorders>
              <w:top w:val="nil"/>
              <w:left w:val="single" w:color="auto" w:sz="6" w:space="0"/>
              <w:bottom w:val="single" w:color="999999" w:sz="6" w:space="0"/>
              <w:right w:val="single" w:color="999999" w:sz="6" w:space="0"/>
            </w:tcBorders>
            <w:noWrap w:val="0"/>
            <w:vAlign w:val="center"/>
          </w:tcPr>
          <w:p w14:paraId="018E8B9B">
            <w:pPr>
              <w:widowControl/>
              <w:spacing w:line="360" w:lineRule="auto"/>
              <w:jc w:val="center"/>
              <w:rPr>
                <w:rFonts w:hint="eastAsia" w:ascii="宋体" w:hAnsi="宋体" w:eastAsia="宋体" w:cs="宋体"/>
                <w:color w:val="auto"/>
                <w:kern w:val="0"/>
                <w:szCs w:val="21"/>
                <w:highlight w:val="none"/>
              </w:rPr>
            </w:pPr>
          </w:p>
        </w:tc>
        <w:tc>
          <w:tcPr>
            <w:tcW w:w="181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E078862">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营业收入（Y）</w:t>
            </w:r>
          </w:p>
        </w:tc>
        <w:tc>
          <w:tcPr>
            <w:tcW w:w="1108"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ACB51CB">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万元</w:t>
            </w:r>
          </w:p>
        </w:tc>
        <w:tc>
          <w:tcPr>
            <w:tcW w:w="204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EEFB0B9">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2000≤Y＜30000</w:t>
            </w:r>
          </w:p>
        </w:tc>
        <w:tc>
          <w:tcPr>
            <w:tcW w:w="1772"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9433BE3">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100≤Y＜2000</w:t>
            </w:r>
          </w:p>
        </w:tc>
        <w:tc>
          <w:tcPr>
            <w:tcW w:w="135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71DBF63">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Y＜100</w:t>
            </w:r>
          </w:p>
        </w:tc>
      </w:tr>
      <w:tr w14:paraId="73822A9B">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blCellSpacing w:w="15" w:type="dxa"/>
          <w:jc w:val="center"/>
        </w:trPr>
        <w:tc>
          <w:tcPr>
            <w:tcW w:w="1344"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5ACD51B5">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住宿业</w:t>
            </w:r>
          </w:p>
        </w:tc>
        <w:tc>
          <w:tcPr>
            <w:tcW w:w="181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658F107">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从业人员（X）</w:t>
            </w:r>
          </w:p>
        </w:tc>
        <w:tc>
          <w:tcPr>
            <w:tcW w:w="1108"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431D314">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人</w:t>
            </w:r>
          </w:p>
        </w:tc>
        <w:tc>
          <w:tcPr>
            <w:tcW w:w="204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D914FB6">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100≤X＜300</w:t>
            </w:r>
          </w:p>
        </w:tc>
        <w:tc>
          <w:tcPr>
            <w:tcW w:w="1772"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DDAE68C">
            <w:pPr>
              <w:pStyle w:val="29"/>
              <w:spacing w:after="150" w:line="360" w:lineRule="auto"/>
              <w:jc w:val="both"/>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10≤X＜100</w:t>
            </w:r>
          </w:p>
        </w:tc>
        <w:tc>
          <w:tcPr>
            <w:tcW w:w="135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7509B39">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X＜10</w:t>
            </w:r>
          </w:p>
        </w:tc>
      </w:tr>
      <w:tr w14:paraId="51EC6C7C">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blCellSpacing w:w="15" w:type="dxa"/>
          <w:jc w:val="center"/>
        </w:trPr>
        <w:tc>
          <w:tcPr>
            <w:tcW w:w="1344" w:type="dxa"/>
            <w:vMerge w:val="continue"/>
            <w:tcBorders>
              <w:top w:val="nil"/>
              <w:left w:val="single" w:color="auto" w:sz="6" w:space="0"/>
              <w:bottom w:val="single" w:color="999999" w:sz="6" w:space="0"/>
              <w:right w:val="single" w:color="999999" w:sz="6" w:space="0"/>
            </w:tcBorders>
            <w:noWrap w:val="0"/>
            <w:vAlign w:val="center"/>
          </w:tcPr>
          <w:p w14:paraId="765F5636">
            <w:pPr>
              <w:widowControl/>
              <w:spacing w:line="360" w:lineRule="auto"/>
              <w:jc w:val="center"/>
              <w:rPr>
                <w:rFonts w:hint="eastAsia" w:ascii="宋体" w:hAnsi="宋体" w:eastAsia="宋体" w:cs="宋体"/>
                <w:color w:val="auto"/>
                <w:kern w:val="0"/>
                <w:szCs w:val="21"/>
                <w:highlight w:val="none"/>
              </w:rPr>
            </w:pPr>
          </w:p>
        </w:tc>
        <w:tc>
          <w:tcPr>
            <w:tcW w:w="181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2719C0D">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营业收入（Y）</w:t>
            </w:r>
          </w:p>
        </w:tc>
        <w:tc>
          <w:tcPr>
            <w:tcW w:w="1108"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70105BF">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万元</w:t>
            </w:r>
          </w:p>
        </w:tc>
        <w:tc>
          <w:tcPr>
            <w:tcW w:w="204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4B4F0C4">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2000≤Y＜10000</w:t>
            </w:r>
          </w:p>
        </w:tc>
        <w:tc>
          <w:tcPr>
            <w:tcW w:w="1772"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67B1FC8">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100≤Y＜2000</w:t>
            </w:r>
          </w:p>
        </w:tc>
        <w:tc>
          <w:tcPr>
            <w:tcW w:w="135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E2F8418">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Y＜100</w:t>
            </w:r>
          </w:p>
        </w:tc>
      </w:tr>
      <w:tr w14:paraId="7E9B1679">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blCellSpacing w:w="15" w:type="dxa"/>
          <w:jc w:val="center"/>
        </w:trPr>
        <w:tc>
          <w:tcPr>
            <w:tcW w:w="1344"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535CB65F">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餐饮业</w:t>
            </w:r>
          </w:p>
        </w:tc>
        <w:tc>
          <w:tcPr>
            <w:tcW w:w="181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8EF4010">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从业人员（X）</w:t>
            </w:r>
          </w:p>
        </w:tc>
        <w:tc>
          <w:tcPr>
            <w:tcW w:w="1108"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56F5B6B">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人</w:t>
            </w:r>
          </w:p>
        </w:tc>
        <w:tc>
          <w:tcPr>
            <w:tcW w:w="204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AE52091">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100≤X＜300</w:t>
            </w:r>
          </w:p>
        </w:tc>
        <w:tc>
          <w:tcPr>
            <w:tcW w:w="1772"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247950C">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10≤X＜100</w:t>
            </w:r>
          </w:p>
        </w:tc>
        <w:tc>
          <w:tcPr>
            <w:tcW w:w="135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BB44EE1">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X＜10</w:t>
            </w:r>
          </w:p>
        </w:tc>
      </w:tr>
      <w:tr w14:paraId="07C5C388">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blCellSpacing w:w="15" w:type="dxa"/>
          <w:jc w:val="center"/>
        </w:trPr>
        <w:tc>
          <w:tcPr>
            <w:tcW w:w="1344" w:type="dxa"/>
            <w:vMerge w:val="continue"/>
            <w:tcBorders>
              <w:top w:val="nil"/>
              <w:left w:val="single" w:color="auto" w:sz="6" w:space="0"/>
              <w:bottom w:val="single" w:color="999999" w:sz="6" w:space="0"/>
              <w:right w:val="single" w:color="999999" w:sz="6" w:space="0"/>
            </w:tcBorders>
            <w:noWrap w:val="0"/>
            <w:vAlign w:val="center"/>
          </w:tcPr>
          <w:p w14:paraId="5A94783F">
            <w:pPr>
              <w:widowControl/>
              <w:spacing w:line="360" w:lineRule="auto"/>
              <w:jc w:val="center"/>
              <w:rPr>
                <w:rFonts w:hint="eastAsia" w:ascii="宋体" w:hAnsi="宋体" w:eastAsia="宋体" w:cs="宋体"/>
                <w:color w:val="auto"/>
                <w:kern w:val="0"/>
                <w:szCs w:val="21"/>
                <w:highlight w:val="none"/>
              </w:rPr>
            </w:pPr>
          </w:p>
        </w:tc>
        <w:tc>
          <w:tcPr>
            <w:tcW w:w="181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3BF95C0">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营业收入（Y）</w:t>
            </w:r>
          </w:p>
        </w:tc>
        <w:tc>
          <w:tcPr>
            <w:tcW w:w="1108"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E9B1E50">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万元</w:t>
            </w:r>
          </w:p>
        </w:tc>
        <w:tc>
          <w:tcPr>
            <w:tcW w:w="204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94348E0">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2000≤Y＜10000</w:t>
            </w:r>
          </w:p>
        </w:tc>
        <w:tc>
          <w:tcPr>
            <w:tcW w:w="1772"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C1041C8">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100≤Y＜2000</w:t>
            </w:r>
          </w:p>
        </w:tc>
        <w:tc>
          <w:tcPr>
            <w:tcW w:w="135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AC5F72C">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Y＜100</w:t>
            </w:r>
          </w:p>
        </w:tc>
      </w:tr>
      <w:tr w14:paraId="56EEDD61">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blCellSpacing w:w="15" w:type="dxa"/>
          <w:jc w:val="center"/>
        </w:trPr>
        <w:tc>
          <w:tcPr>
            <w:tcW w:w="1344"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2EC6D3DA">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信息传输业</w:t>
            </w:r>
          </w:p>
        </w:tc>
        <w:tc>
          <w:tcPr>
            <w:tcW w:w="181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6C0CC18">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从业人员（X）</w:t>
            </w:r>
          </w:p>
        </w:tc>
        <w:tc>
          <w:tcPr>
            <w:tcW w:w="1108"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83BDEF8">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人</w:t>
            </w:r>
          </w:p>
        </w:tc>
        <w:tc>
          <w:tcPr>
            <w:tcW w:w="204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3F482D1">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100≤X＜2000</w:t>
            </w:r>
          </w:p>
        </w:tc>
        <w:tc>
          <w:tcPr>
            <w:tcW w:w="1772"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F8EB2D8">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10≤X＜100</w:t>
            </w:r>
          </w:p>
        </w:tc>
        <w:tc>
          <w:tcPr>
            <w:tcW w:w="135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232C5B1">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X＜10</w:t>
            </w:r>
          </w:p>
        </w:tc>
      </w:tr>
      <w:tr w14:paraId="1BE696DD">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blCellSpacing w:w="15" w:type="dxa"/>
          <w:jc w:val="center"/>
        </w:trPr>
        <w:tc>
          <w:tcPr>
            <w:tcW w:w="1344" w:type="dxa"/>
            <w:vMerge w:val="continue"/>
            <w:tcBorders>
              <w:top w:val="nil"/>
              <w:left w:val="single" w:color="auto" w:sz="6" w:space="0"/>
              <w:bottom w:val="single" w:color="999999" w:sz="6" w:space="0"/>
              <w:right w:val="single" w:color="999999" w:sz="6" w:space="0"/>
            </w:tcBorders>
            <w:noWrap w:val="0"/>
            <w:vAlign w:val="center"/>
          </w:tcPr>
          <w:p w14:paraId="764C1CFF">
            <w:pPr>
              <w:widowControl/>
              <w:spacing w:line="360" w:lineRule="auto"/>
              <w:jc w:val="center"/>
              <w:rPr>
                <w:rFonts w:hint="eastAsia" w:ascii="宋体" w:hAnsi="宋体" w:eastAsia="宋体" w:cs="宋体"/>
                <w:color w:val="auto"/>
                <w:kern w:val="0"/>
                <w:szCs w:val="21"/>
                <w:highlight w:val="none"/>
              </w:rPr>
            </w:pPr>
          </w:p>
        </w:tc>
        <w:tc>
          <w:tcPr>
            <w:tcW w:w="181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3022A50">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营业收入（Y）</w:t>
            </w:r>
          </w:p>
        </w:tc>
        <w:tc>
          <w:tcPr>
            <w:tcW w:w="1108"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D11161B">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万元</w:t>
            </w:r>
          </w:p>
        </w:tc>
        <w:tc>
          <w:tcPr>
            <w:tcW w:w="204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B1D9751">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1000≤Y＜100000</w:t>
            </w:r>
          </w:p>
        </w:tc>
        <w:tc>
          <w:tcPr>
            <w:tcW w:w="1772"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46F79A2">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100≤Y＜1000</w:t>
            </w:r>
          </w:p>
        </w:tc>
        <w:tc>
          <w:tcPr>
            <w:tcW w:w="135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1C4B696">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Y＜100</w:t>
            </w:r>
          </w:p>
        </w:tc>
      </w:tr>
      <w:tr w14:paraId="742CDC35">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blCellSpacing w:w="15" w:type="dxa"/>
          <w:jc w:val="center"/>
        </w:trPr>
        <w:tc>
          <w:tcPr>
            <w:tcW w:w="1344"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6D07D660">
            <w:pPr>
              <w:pStyle w:val="29"/>
              <w:spacing w:before="0" w:beforeAutospacing="0" w:after="0" w:afterAutospacing="0" w:line="360" w:lineRule="exact"/>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软件和信息技术服务业</w:t>
            </w:r>
          </w:p>
        </w:tc>
        <w:tc>
          <w:tcPr>
            <w:tcW w:w="181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2FFB46D">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从业人员（X）</w:t>
            </w:r>
          </w:p>
        </w:tc>
        <w:tc>
          <w:tcPr>
            <w:tcW w:w="1108"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696F38A">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人</w:t>
            </w:r>
          </w:p>
        </w:tc>
        <w:tc>
          <w:tcPr>
            <w:tcW w:w="204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5883D39">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100≤X＜300</w:t>
            </w:r>
          </w:p>
        </w:tc>
        <w:tc>
          <w:tcPr>
            <w:tcW w:w="1772"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9AD7548">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10≤X＜100</w:t>
            </w:r>
          </w:p>
        </w:tc>
        <w:tc>
          <w:tcPr>
            <w:tcW w:w="135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AFE0CBD">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X＜10</w:t>
            </w:r>
          </w:p>
        </w:tc>
      </w:tr>
      <w:tr w14:paraId="56FE4159">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blCellSpacing w:w="15" w:type="dxa"/>
          <w:jc w:val="center"/>
        </w:trPr>
        <w:tc>
          <w:tcPr>
            <w:tcW w:w="1344" w:type="dxa"/>
            <w:vMerge w:val="continue"/>
            <w:tcBorders>
              <w:top w:val="nil"/>
              <w:left w:val="single" w:color="auto" w:sz="6" w:space="0"/>
              <w:bottom w:val="single" w:color="999999" w:sz="6" w:space="0"/>
              <w:right w:val="single" w:color="999999" w:sz="6" w:space="0"/>
            </w:tcBorders>
            <w:noWrap w:val="0"/>
            <w:vAlign w:val="center"/>
          </w:tcPr>
          <w:p w14:paraId="08BEB926">
            <w:pPr>
              <w:widowControl/>
              <w:spacing w:line="360" w:lineRule="exact"/>
              <w:jc w:val="center"/>
              <w:rPr>
                <w:rFonts w:hint="eastAsia" w:ascii="宋体" w:hAnsi="宋体" w:eastAsia="宋体" w:cs="宋体"/>
                <w:color w:val="auto"/>
                <w:kern w:val="0"/>
                <w:szCs w:val="21"/>
                <w:highlight w:val="none"/>
              </w:rPr>
            </w:pPr>
          </w:p>
        </w:tc>
        <w:tc>
          <w:tcPr>
            <w:tcW w:w="181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A269A6C">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营业收入（Y）</w:t>
            </w:r>
          </w:p>
        </w:tc>
        <w:tc>
          <w:tcPr>
            <w:tcW w:w="1108"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9D191E3">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万元</w:t>
            </w:r>
          </w:p>
        </w:tc>
        <w:tc>
          <w:tcPr>
            <w:tcW w:w="204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15532E7">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1000≤Y＜10000</w:t>
            </w:r>
          </w:p>
        </w:tc>
        <w:tc>
          <w:tcPr>
            <w:tcW w:w="1772"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54E637B">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50≤Y＜1000</w:t>
            </w:r>
          </w:p>
        </w:tc>
        <w:tc>
          <w:tcPr>
            <w:tcW w:w="135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AEE454D">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Y＜50</w:t>
            </w:r>
          </w:p>
        </w:tc>
      </w:tr>
      <w:tr w14:paraId="750C67BD">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blCellSpacing w:w="15" w:type="dxa"/>
          <w:jc w:val="center"/>
        </w:trPr>
        <w:tc>
          <w:tcPr>
            <w:tcW w:w="1344"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6033E44E">
            <w:pPr>
              <w:pStyle w:val="29"/>
              <w:spacing w:before="0" w:beforeAutospacing="0" w:after="0" w:afterAutospacing="0" w:line="360" w:lineRule="exact"/>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房地产开发经营</w:t>
            </w:r>
          </w:p>
        </w:tc>
        <w:tc>
          <w:tcPr>
            <w:tcW w:w="181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DF4CCD8">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营业收入（Y）</w:t>
            </w:r>
          </w:p>
        </w:tc>
        <w:tc>
          <w:tcPr>
            <w:tcW w:w="1108"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46456CA">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万元</w:t>
            </w:r>
          </w:p>
        </w:tc>
        <w:tc>
          <w:tcPr>
            <w:tcW w:w="204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F1279CA">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1000≤Y＜200000</w:t>
            </w:r>
          </w:p>
        </w:tc>
        <w:tc>
          <w:tcPr>
            <w:tcW w:w="1772"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637010E">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100≤X＜1000</w:t>
            </w:r>
          </w:p>
        </w:tc>
        <w:tc>
          <w:tcPr>
            <w:tcW w:w="135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FB24060">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X＜100</w:t>
            </w:r>
          </w:p>
        </w:tc>
      </w:tr>
      <w:tr w14:paraId="01522ED2">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blCellSpacing w:w="15" w:type="dxa"/>
          <w:jc w:val="center"/>
        </w:trPr>
        <w:tc>
          <w:tcPr>
            <w:tcW w:w="1344" w:type="dxa"/>
            <w:vMerge w:val="continue"/>
            <w:tcBorders>
              <w:top w:val="nil"/>
              <w:left w:val="single" w:color="auto" w:sz="6" w:space="0"/>
              <w:bottom w:val="single" w:color="999999" w:sz="6" w:space="0"/>
              <w:right w:val="single" w:color="999999" w:sz="6" w:space="0"/>
            </w:tcBorders>
            <w:noWrap w:val="0"/>
            <w:vAlign w:val="center"/>
          </w:tcPr>
          <w:p w14:paraId="64CDE58D">
            <w:pPr>
              <w:widowControl/>
              <w:spacing w:line="360" w:lineRule="exact"/>
              <w:jc w:val="center"/>
              <w:rPr>
                <w:rFonts w:hint="eastAsia" w:ascii="宋体" w:hAnsi="宋体" w:eastAsia="宋体" w:cs="宋体"/>
                <w:color w:val="auto"/>
                <w:kern w:val="0"/>
                <w:szCs w:val="21"/>
                <w:highlight w:val="none"/>
              </w:rPr>
            </w:pPr>
          </w:p>
        </w:tc>
        <w:tc>
          <w:tcPr>
            <w:tcW w:w="181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B4BEC0F">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资产总额（Z）</w:t>
            </w:r>
          </w:p>
        </w:tc>
        <w:tc>
          <w:tcPr>
            <w:tcW w:w="1108"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0B816C2">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万元</w:t>
            </w:r>
          </w:p>
        </w:tc>
        <w:tc>
          <w:tcPr>
            <w:tcW w:w="204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7638006">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5000≤Z＜10000</w:t>
            </w:r>
          </w:p>
        </w:tc>
        <w:tc>
          <w:tcPr>
            <w:tcW w:w="1772"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7973D1E">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2000≤Y＜5000</w:t>
            </w:r>
          </w:p>
        </w:tc>
        <w:tc>
          <w:tcPr>
            <w:tcW w:w="135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E5FBFCA">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Y＜2000</w:t>
            </w:r>
          </w:p>
        </w:tc>
      </w:tr>
      <w:tr w14:paraId="5B6B7116">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blCellSpacing w:w="15" w:type="dxa"/>
          <w:jc w:val="center"/>
        </w:trPr>
        <w:tc>
          <w:tcPr>
            <w:tcW w:w="1344"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68F4E357">
            <w:pPr>
              <w:pStyle w:val="29"/>
              <w:spacing w:before="0" w:beforeAutospacing="0" w:after="0" w:afterAutospacing="0" w:line="360" w:lineRule="exact"/>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物业管理</w:t>
            </w:r>
          </w:p>
        </w:tc>
        <w:tc>
          <w:tcPr>
            <w:tcW w:w="181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AA1F816">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从业人员（X）</w:t>
            </w:r>
          </w:p>
        </w:tc>
        <w:tc>
          <w:tcPr>
            <w:tcW w:w="1108"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96A05B3">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人</w:t>
            </w:r>
          </w:p>
        </w:tc>
        <w:tc>
          <w:tcPr>
            <w:tcW w:w="204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59090FA">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300≤X＜1000</w:t>
            </w:r>
          </w:p>
        </w:tc>
        <w:tc>
          <w:tcPr>
            <w:tcW w:w="1772"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8782B6F">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100≤X＜300</w:t>
            </w:r>
          </w:p>
        </w:tc>
        <w:tc>
          <w:tcPr>
            <w:tcW w:w="135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690E6C1">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X＜100</w:t>
            </w:r>
          </w:p>
        </w:tc>
      </w:tr>
      <w:tr w14:paraId="677C1FB7">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blCellSpacing w:w="15" w:type="dxa"/>
          <w:jc w:val="center"/>
        </w:trPr>
        <w:tc>
          <w:tcPr>
            <w:tcW w:w="1344" w:type="dxa"/>
            <w:vMerge w:val="continue"/>
            <w:tcBorders>
              <w:top w:val="nil"/>
              <w:left w:val="single" w:color="auto" w:sz="6" w:space="0"/>
              <w:bottom w:val="single" w:color="999999" w:sz="6" w:space="0"/>
              <w:right w:val="single" w:color="999999" w:sz="6" w:space="0"/>
            </w:tcBorders>
            <w:noWrap w:val="0"/>
            <w:vAlign w:val="center"/>
          </w:tcPr>
          <w:p w14:paraId="323F902E">
            <w:pPr>
              <w:widowControl/>
              <w:spacing w:line="360" w:lineRule="exact"/>
              <w:jc w:val="center"/>
              <w:rPr>
                <w:rFonts w:hint="eastAsia" w:ascii="宋体" w:hAnsi="宋体" w:eastAsia="宋体" w:cs="宋体"/>
                <w:color w:val="auto"/>
                <w:kern w:val="0"/>
                <w:szCs w:val="21"/>
                <w:highlight w:val="none"/>
              </w:rPr>
            </w:pPr>
          </w:p>
        </w:tc>
        <w:tc>
          <w:tcPr>
            <w:tcW w:w="181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0AD7A67">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营业收入（Y）</w:t>
            </w:r>
          </w:p>
        </w:tc>
        <w:tc>
          <w:tcPr>
            <w:tcW w:w="1108"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216B542">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万元</w:t>
            </w:r>
          </w:p>
        </w:tc>
        <w:tc>
          <w:tcPr>
            <w:tcW w:w="204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487E0B8">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1000≤Y＜5000</w:t>
            </w:r>
          </w:p>
        </w:tc>
        <w:tc>
          <w:tcPr>
            <w:tcW w:w="1772"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8A07ACC">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500≤Y＜1000</w:t>
            </w:r>
          </w:p>
        </w:tc>
        <w:tc>
          <w:tcPr>
            <w:tcW w:w="135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572FEE4">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Y＜500</w:t>
            </w:r>
          </w:p>
        </w:tc>
      </w:tr>
      <w:tr w14:paraId="52A5453A">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blCellSpacing w:w="15" w:type="dxa"/>
          <w:jc w:val="center"/>
        </w:trPr>
        <w:tc>
          <w:tcPr>
            <w:tcW w:w="1344"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65B8E7C5">
            <w:pPr>
              <w:pStyle w:val="29"/>
              <w:spacing w:before="0" w:beforeAutospacing="0" w:after="0" w:afterAutospacing="0" w:line="360" w:lineRule="exact"/>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租赁和商务服务业</w:t>
            </w:r>
          </w:p>
        </w:tc>
        <w:tc>
          <w:tcPr>
            <w:tcW w:w="181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68BEF36">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从业人员（X）</w:t>
            </w:r>
          </w:p>
        </w:tc>
        <w:tc>
          <w:tcPr>
            <w:tcW w:w="1108"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5699199">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人</w:t>
            </w:r>
          </w:p>
        </w:tc>
        <w:tc>
          <w:tcPr>
            <w:tcW w:w="204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F7C3C3C">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100≤X＜300</w:t>
            </w:r>
          </w:p>
        </w:tc>
        <w:tc>
          <w:tcPr>
            <w:tcW w:w="1772"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AF968EA">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10≤X＜100</w:t>
            </w:r>
          </w:p>
        </w:tc>
        <w:tc>
          <w:tcPr>
            <w:tcW w:w="135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6F01B12">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X＜10</w:t>
            </w:r>
          </w:p>
        </w:tc>
      </w:tr>
      <w:tr w14:paraId="6971CCCF">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blCellSpacing w:w="15" w:type="dxa"/>
          <w:jc w:val="center"/>
        </w:trPr>
        <w:tc>
          <w:tcPr>
            <w:tcW w:w="1344" w:type="dxa"/>
            <w:vMerge w:val="continue"/>
            <w:tcBorders>
              <w:top w:val="nil"/>
              <w:left w:val="single" w:color="auto" w:sz="6" w:space="0"/>
              <w:bottom w:val="single" w:color="999999" w:sz="6" w:space="0"/>
              <w:right w:val="single" w:color="999999" w:sz="6" w:space="0"/>
            </w:tcBorders>
            <w:noWrap w:val="0"/>
            <w:vAlign w:val="center"/>
          </w:tcPr>
          <w:p w14:paraId="0416EDB0">
            <w:pPr>
              <w:widowControl/>
              <w:spacing w:line="360" w:lineRule="auto"/>
              <w:jc w:val="center"/>
              <w:rPr>
                <w:rFonts w:hint="eastAsia" w:ascii="宋体" w:hAnsi="宋体" w:eastAsia="宋体" w:cs="宋体"/>
                <w:color w:val="auto"/>
                <w:kern w:val="0"/>
                <w:szCs w:val="21"/>
                <w:highlight w:val="none"/>
              </w:rPr>
            </w:pPr>
          </w:p>
        </w:tc>
        <w:tc>
          <w:tcPr>
            <w:tcW w:w="181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611CB83">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资产总额（Z）</w:t>
            </w:r>
          </w:p>
        </w:tc>
        <w:tc>
          <w:tcPr>
            <w:tcW w:w="1108"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825D4A7">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万元</w:t>
            </w:r>
          </w:p>
        </w:tc>
        <w:tc>
          <w:tcPr>
            <w:tcW w:w="204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E5B3472">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8000≤Z＜120000</w:t>
            </w:r>
          </w:p>
        </w:tc>
        <w:tc>
          <w:tcPr>
            <w:tcW w:w="1772"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1B36A8A">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100≤Z＜8000</w:t>
            </w:r>
          </w:p>
        </w:tc>
        <w:tc>
          <w:tcPr>
            <w:tcW w:w="135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5A34255">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Y＜100</w:t>
            </w:r>
          </w:p>
        </w:tc>
      </w:tr>
      <w:tr w14:paraId="46F61A5C">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blCellSpacing w:w="15" w:type="dxa"/>
          <w:jc w:val="center"/>
        </w:trPr>
        <w:tc>
          <w:tcPr>
            <w:tcW w:w="1344" w:type="dxa"/>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3911FFD4">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其他未列明行业</w:t>
            </w:r>
          </w:p>
        </w:tc>
        <w:tc>
          <w:tcPr>
            <w:tcW w:w="181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9C312AB">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从业人员（X）</w:t>
            </w:r>
          </w:p>
        </w:tc>
        <w:tc>
          <w:tcPr>
            <w:tcW w:w="1108"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8C6BBD2">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人</w:t>
            </w:r>
          </w:p>
        </w:tc>
        <w:tc>
          <w:tcPr>
            <w:tcW w:w="2041"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69E5076">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100≤X＜300</w:t>
            </w:r>
          </w:p>
        </w:tc>
        <w:tc>
          <w:tcPr>
            <w:tcW w:w="1772"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D8258EC">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10≤X＜100</w:t>
            </w:r>
          </w:p>
        </w:tc>
        <w:tc>
          <w:tcPr>
            <w:tcW w:w="135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D1D6262">
            <w:pPr>
              <w:pStyle w:val="29"/>
              <w:spacing w:after="150" w:line="360" w:lineRule="auto"/>
              <w:jc w:val="center"/>
              <w:rPr>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X＜10</w:t>
            </w:r>
          </w:p>
        </w:tc>
      </w:tr>
    </w:tbl>
    <w:p w14:paraId="0E36EC5B">
      <w:pPr>
        <w:pStyle w:val="29"/>
        <w:spacing w:before="300" w:after="452" w:line="360" w:lineRule="auto"/>
        <w:rPr>
          <w:rStyle w:val="36"/>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0879ACA0">
      <w:pPr>
        <w:spacing w:line="360" w:lineRule="auto"/>
        <w:jc w:val="center"/>
        <w:rPr>
          <w:rFonts w:hint="eastAsia" w:ascii="宋体" w:hAnsi="宋体" w:eastAsia="宋体" w:cs="宋体"/>
          <w:b/>
          <w:color w:val="auto"/>
          <w:sz w:val="24"/>
          <w:szCs w:val="24"/>
          <w:highlight w:val="none"/>
        </w:rPr>
      </w:pPr>
    </w:p>
    <w:p w14:paraId="6D1AA8AD">
      <w:pPr>
        <w:spacing w:line="360" w:lineRule="auto"/>
        <w:jc w:val="center"/>
        <w:rPr>
          <w:rFonts w:hint="eastAsia" w:ascii="宋体" w:hAnsi="宋体" w:eastAsia="宋体" w:cs="宋体"/>
          <w:b/>
          <w:color w:val="auto"/>
          <w:sz w:val="24"/>
          <w:szCs w:val="24"/>
          <w:highlight w:val="none"/>
        </w:rPr>
      </w:pPr>
    </w:p>
    <w:p w14:paraId="42422E24">
      <w:pPr>
        <w:spacing w:line="360" w:lineRule="auto"/>
        <w:jc w:val="center"/>
        <w:rPr>
          <w:rFonts w:hint="eastAsia" w:ascii="宋体" w:hAnsi="宋体" w:eastAsia="宋体" w:cs="宋体"/>
          <w:b/>
          <w:bCs/>
          <w:color w:val="auto"/>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b/>
          <w:bCs/>
          <w:color w:val="auto"/>
          <w:highlight w:val="none"/>
        </w:rPr>
        <w:t>残疾人福利性单位声明函</w:t>
      </w:r>
    </w:p>
    <w:p w14:paraId="1705B6D6">
      <w:pPr>
        <w:spacing w:line="588" w:lineRule="exact"/>
        <w:ind w:firstLine="624" w:firstLineChars="200"/>
        <w:rPr>
          <w:rFonts w:hint="eastAsia" w:ascii="宋体" w:hAnsi="宋体" w:eastAsia="宋体" w:cs="宋体"/>
          <w:color w:val="auto"/>
          <w:spacing w:val="6"/>
          <w:sz w:val="30"/>
          <w:szCs w:val="30"/>
          <w:highlight w:val="none"/>
        </w:rPr>
      </w:pPr>
    </w:p>
    <w:p w14:paraId="3E574F73">
      <w:pPr>
        <w:spacing w:line="588"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本单位郑重声明，根据《财政部  民政部  中国残疾人联合会关于促进残疾人就业政府采购政策的通知》（财库〔2017〕141号）的规定，本单位为符合条件的残疾人福利性单位，且本单位参加______单位的采购文件编号为______的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项目采购活动提供本单位制造的产品或服务（由本单位承担工程/提供服务），或者提供其他残疾人福利性单位制造的产品或服务（不包括使用非残疾人福利性单位注册商标的产品或服务）。</w:t>
      </w:r>
    </w:p>
    <w:p w14:paraId="560FA637">
      <w:pPr>
        <w:spacing w:line="588"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本单位在本次政府采购活动中提供的残疾人福利单位产品报价合计为人民币（大写）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圆整（￥：     ）。</w:t>
      </w:r>
    </w:p>
    <w:p w14:paraId="15E37DA8">
      <w:pPr>
        <w:spacing w:line="588"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本单位对上述声明的真实性负责。如有虚假，将依法承担相应责任。</w:t>
      </w:r>
    </w:p>
    <w:p w14:paraId="0331C165">
      <w:pPr>
        <w:spacing w:line="588" w:lineRule="exact"/>
        <w:ind w:firstLine="420" w:firstLineChars="200"/>
        <w:rPr>
          <w:rFonts w:hint="eastAsia" w:ascii="宋体" w:hAnsi="宋体" w:eastAsia="宋体" w:cs="宋体"/>
          <w:color w:val="auto"/>
          <w:szCs w:val="21"/>
          <w:highlight w:val="none"/>
        </w:rPr>
      </w:pPr>
    </w:p>
    <w:p w14:paraId="67224CE7">
      <w:pPr>
        <w:spacing w:line="588"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（备注：1、供应商如不提供此声明函，价格将不做相应扣除。2、中标供应商为残疾人福利单位的，此声明函将随中标（成交）结果同时公告，接受社会监督）</w:t>
      </w:r>
    </w:p>
    <w:p w14:paraId="61B8C048">
      <w:pPr>
        <w:spacing w:line="588" w:lineRule="exact"/>
        <w:ind w:firstLine="444" w:firstLineChars="200"/>
        <w:rPr>
          <w:rFonts w:hint="eastAsia" w:ascii="宋体" w:hAnsi="宋体" w:eastAsia="宋体" w:cs="宋体"/>
          <w:color w:val="auto"/>
          <w:spacing w:val="6"/>
          <w:szCs w:val="21"/>
          <w:highlight w:val="none"/>
        </w:rPr>
      </w:pPr>
    </w:p>
    <w:p w14:paraId="631DBA10">
      <w:pPr>
        <w:tabs>
          <w:tab w:val="left" w:pos="4860"/>
        </w:tabs>
        <w:spacing w:line="588" w:lineRule="exact"/>
        <w:ind w:right="1560" w:firstLine="444" w:firstLineChars="200"/>
        <w:jc w:val="center"/>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 xml:space="preserve">             </w:t>
      </w:r>
      <w:r>
        <w:rPr>
          <w:rFonts w:hint="eastAsia" w:ascii="宋体" w:hAnsi="宋体" w:eastAsia="宋体" w:cs="宋体"/>
          <w:color w:val="auto"/>
          <w:szCs w:val="21"/>
          <w:highlight w:val="none"/>
        </w:rPr>
        <w:t xml:space="preserve">                供应商全称（盖章）：</w:t>
      </w:r>
    </w:p>
    <w:p w14:paraId="04337BC6">
      <w:pPr>
        <w:spacing w:afterLines="1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4595E73C">
      <w:pPr>
        <w:spacing w:afterLines="10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日  期：</w:t>
      </w:r>
      <w:r>
        <w:rPr>
          <w:rFonts w:hint="eastAsia" w:ascii="宋体" w:hAnsi="宋体" w:cs="宋体"/>
          <w:color w:val="auto"/>
          <w:szCs w:val="21"/>
          <w:highlight w:val="none"/>
          <w:lang w:val="en-US" w:eastAsia="zh-CN"/>
        </w:rPr>
        <w:t xml:space="preserve">   年   月  日</w:t>
      </w:r>
    </w:p>
    <w:p w14:paraId="0433B4A3">
      <w:pPr>
        <w:spacing w:line="360" w:lineRule="auto"/>
        <w:rPr>
          <w:rFonts w:hint="eastAsia" w:ascii="宋体" w:hAnsi="宋体" w:eastAsia="宋体" w:cs="宋体"/>
          <w:color w:val="auto"/>
          <w:szCs w:val="21"/>
          <w:highlight w:val="none"/>
        </w:rPr>
      </w:pPr>
    </w:p>
    <w:p w14:paraId="65D7D1A1">
      <w:pPr>
        <w:spacing w:line="360" w:lineRule="auto"/>
        <w:rPr>
          <w:rFonts w:hint="eastAsia" w:ascii="宋体" w:hAnsi="宋体" w:eastAsia="宋体" w:cs="宋体"/>
          <w:color w:val="auto"/>
          <w:szCs w:val="21"/>
          <w:highlight w:val="none"/>
        </w:rPr>
      </w:pPr>
    </w:p>
    <w:p w14:paraId="4C18F6FE">
      <w:pPr>
        <w:spacing w:line="360" w:lineRule="auto"/>
        <w:rPr>
          <w:rFonts w:hint="eastAsia" w:ascii="宋体" w:hAnsi="宋体" w:eastAsia="宋体" w:cs="宋体"/>
          <w:color w:val="auto"/>
          <w:szCs w:val="21"/>
          <w:highlight w:val="none"/>
        </w:rPr>
      </w:pPr>
    </w:p>
    <w:p w14:paraId="59B24EA8">
      <w:pPr>
        <w:spacing w:line="360" w:lineRule="auto"/>
        <w:jc w:val="center"/>
        <w:rPr>
          <w:rFonts w:hint="eastAsia" w:ascii="宋体" w:hAnsi="宋体" w:eastAsia="宋体" w:cs="宋体"/>
          <w:b/>
          <w:color w:val="auto"/>
          <w:szCs w:val="21"/>
          <w:highlight w:val="none"/>
        </w:rPr>
      </w:pPr>
    </w:p>
    <w:p w14:paraId="3824BB75">
      <w:pPr>
        <w:spacing w:line="360" w:lineRule="auto"/>
        <w:jc w:val="center"/>
        <w:rPr>
          <w:rFonts w:hint="eastAsia" w:ascii="宋体" w:hAnsi="宋体" w:eastAsia="宋体" w:cs="宋体"/>
          <w:b/>
          <w:color w:val="auto"/>
          <w:szCs w:val="21"/>
          <w:highlight w:val="none"/>
        </w:rPr>
      </w:pPr>
    </w:p>
    <w:p w14:paraId="6B0E6322">
      <w:pPr>
        <w:pStyle w:val="60"/>
        <w:rPr>
          <w:rFonts w:hint="eastAsia" w:ascii="宋体" w:hAnsi="宋体" w:eastAsia="宋体" w:cs="宋体"/>
          <w:b/>
          <w:color w:val="auto"/>
          <w:szCs w:val="21"/>
          <w:highlight w:val="none"/>
        </w:rPr>
      </w:pPr>
    </w:p>
    <w:p w14:paraId="0B2A2D6A">
      <w:pPr>
        <w:rPr>
          <w:rFonts w:hint="eastAsia" w:ascii="宋体" w:hAnsi="宋体" w:eastAsia="宋体" w:cs="宋体"/>
          <w:color w:val="auto"/>
          <w:highlight w:val="none"/>
        </w:rPr>
      </w:pPr>
    </w:p>
    <w:p w14:paraId="784D2DB0">
      <w:pPr>
        <w:pStyle w:val="2"/>
        <w:ind w:firstLine="422"/>
        <w:rPr>
          <w:rFonts w:hint="eastAsia" w:ascii="宋体" w:hAnsi="宋体" w:eastAsia="宋体" w:cs="宋体"/>
          <w:b/>
          <w:color w:val="auto"/>
          <w:szCs w:val="21"/>
          <w:highlight w:val="none"/>
        </w:rPr>
      </w:pPr>
    </w:p>
    <w:p w14:paraId="3156F2C4">
      <w:pPr>
        <w:pStyle w:val="4"/>
        <w:ind w:left="480" w:hanging="480"/>
        <w:rPr>
          <w:rFonts w:hint="eastAsia" w:ascii="宋体" w:hAnsi="宋体" w:eastAsia="宋体" w:cs="宋体"/>
          <w:color w:val="auto"/>
          <w:highlight w:val="none"/>
        </w:rPr>
      </w:pPr>
    </w:p>
    <w:p w14:paraId="4D75DA11">
      <w:pPr>
        <w:spacing w:line="360" w:lineRule="auto"/>
        <w:rPr>
          <w:rFonts w:hint="eastAsia" w:ascii="宋体" w:hAnsi="宋体" w:eastAsia="宋体" w:cs="宋体"/>
          <w:b/>
          <w:color w:val="auto"/>
          <w:szCs w:val="21"/>
          <w:highlight w:val="none"/>
        </w:rPr>
      </w:pPr>
    </w:p>
    <w:p w14:paraId="7CAB378D">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三、磋商响应报价表</w:t>
      </w:r>
    </w:p>
    <w:p w14:paraId="49BE7ED3">
      <w:pPr>
        <w:spacing w:line="360" w:lineRule="auto"/>
        <w:rPr>
          <w:rFonts w:hint="eastAsia" w:ascii="宋体" w:hAnsi="宋体" w:eastAsia="宋体" w:cs="宋体"/>
          <w:color w:val="auto"/>
          <w:szCs w:val="21"/>
          <w:highlight w:val="none"/>
        </w:rPr>
      </w:pPr>
    </w:p>
    <w:p w14:paraId="582086EC">
      <w:pPr>
        <w:pStyle w:val="2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项目名称： </w:t>
      </w:r>
    </w:p>
    <w:p w14:paraId="68C595D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p>
    <w:tbl>
      <w:tblPr>
        <w:tblStyle w:val="33"/>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3"/>
        <w:gridCol w:w="7016"/>
      </w:tblGrid>
      <w:tr w14:paraId="4506A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2623" w:type="dxa"/>
            <w:vAlign w:val="center"/>
          </w:tcPr>
          <w:p w14:paraId="52A4DEC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7016" w:type="dxa"/>
            <w:vAlign w:val="center"/>
          </w:tcPr>
          <w:p w14:paraId="10D2885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第一轮报价</w:t>
            </w:r>
          </w:p>
        </w:tc>
      </w:tr>
      <w:tr w14:paraId="51BB1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1" w:hRule="atLeast"/>
          <w:jc w:val="center"/>
        </w:trPr>
        <w:tc>
          <w:tcPr>
            <w:tcW w:w="2623" w:type="dxa"/>
            <w:vAlign w:val="center"/>
          </w:tcPr>
          <w:p w14:paraId="10192A4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西区初中校南侧规划道路新建工程监理</w:t>
            </w:r>
          </w:p>
        </w:tc>
        <w:tc>
          <w:tcPr>
            <w:tcW w:w="7016" w:type="dxa"/>
            <w:vAlign w:val="center"/>
          </w:tcPr>
          <w:p w14:paraId="458870D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大写：</w:t>
            </w:r>
          </w:p>
          <w:p w14:paraId="58DC6F8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小写：                   （人民币）</w:t>
            </w:r>
          </w:p>
        </w:tc>
      </w:tr>
      <w:tr w14:paraId="6314C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jc w:val="center"/>
        </w:trPr>
        <w:tc>
          <w:tcPr>
            <w:tcW w:w="2623" w:type="dxa"/>
            <w:vAlign w:val="center"/>
          </w:tcPr>
          <w:p w14:paraId="27B9116C">
            <w:pPr>
              <w:pStyle w:val="16"/>
              <w:adjustRightInd w:val="0"/>
              <w:snapToGrid w:val="0"/>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rPr>
              <w:t>是否中/小/微企业</w:t>
            </w:r>
          </w:p>
        </w:tc>
        <w:tc>
          <w:tcPr>
            <w:tcW w:w="7016" w:type="dxa"/>
            <w:vAlign w:val="center"/>
          </w:tcPr>
          <w:p w14:paraId="7DE09685">
            <w:pPr>
              <w:pStyle w:val="66"/>
              <w:spacing w:before="0" w:after="0" w:line="50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rPr>
              <w:t xml:space="preserve">□中型企业     □小型企业    □微型企业 </w:t>
            </w:r>
          </w:p>
        </w:tc>
      </w:tr>
      <w:tr w14:paraId="6430C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jc w:val="center"/>
        </w:trPr>
        <w:tc>
          <w:tcPr>
            <w:tcW w:w="2623" w:type="dxa"/>
            <w:vAlign w:val="center"/>
          </w:tcPr>
          <w:p w14:paraId="7565668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服务期</w:t>
            </w:r>
          </w:p>
        </w:tc>
        <w:tc>
          <w:tcPr>
            <w:tcW w:w="7016" w:type="dxa"/>
            <w:vAlign w:val="center"/>
          </w:tcPr>
          <w:p w14:paraId="5FF891F8">
            <w:pPr>
              <w:spacing w:line="360" w:lineRule="auto"/>
              <w:rPr>
                <w:rFonts w:hint="eastAsia" w:ascii="宋体" w:hAnsi="宋体" w:eastAsia="宋体" w:cs="宋体"/>
                <w:color w:val="auto"/>
                <w:szCs w:val="21"/>
                <w:highlight w:val="none"/>
              </w:rPr>
            </w:pPr>
          </w:p>
        </w:tc>
      </w:tr>
      <w:tr w14:paraId="7FE4E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2623" w:type="dxa"/>
            <w:vAlign w:val="center"/>
          </w:tcPr>
          <w:p w14:paraId="03EC4CB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7016" w:type="dxa"/>
            <w:vAlign w:val="center"/>
          </w:tcPr>
          <w:p w14:paraId="57C27B1B">
            <w:pPr>
              <w:spacing w:line="360" w:lineRule="auto"/>
              <w:jc w:val="center"/>
              <w:rPr>
                <w:rFonts w:hint="eastAsia" w:ascii="宋体" w:hAnsi="宋体" w:eastAsia="宋体" w:cs="宋体"/>
                <w:color w:val="auto"/>
                <w:szCs w:val="21"/>
                <w:highlight w:val="none"/>
              </w:rPr>
            </w:pPr>
          </w:p>
        </w:tc>
      </w:tr>
    </w:tbl>
    <w:p w14:paraId="68920955">
      <w:pPr>
        <w:spacing w:line="360" w:lineRule="auto"/>
        <w:rPr>
          <w:rFonts w:hint="eastAsia" w:ascii="宋体" w:hAnsi="宋体" w:eastAsia="宋体" w:cs="宋体"/>
          <w:color w:val="auto"/>
          <w:szCs w:val="21"/>
          <w:highlight w:val="none"/>
        </w:rPr>
      </w:pPr>
    </w:p>
    <w:p w14:paraId="341103FD">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磋商供应商全称（盖章）：</w:t>
      </w:r>
    </w:p>
    <w:p w14:paraId="6AD3C88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法定代表人或者授权代表（签字或盖章）：                    </w:t>
      </w:r>
    </w:p>
    <w:p w14:paraId="43A6251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035BB0AB">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价格构成或报价要求：</w:t>
      </w:r>
    </w:p>
    <w:p w14:paraId="0582644C">
      <w:pPr>
        <w:spacing w:line="360" w:lineRule="auto"/>
        <w:jc w:val="left"/>
        <w:rPr>
          <w:rFonts w:hint="eastAsia" w:ascii="宋体" w:hAnsi="宋体" w:eastAsia="宋体" w:cs="宋体"/>
          <w:i/>
          <w:color w:val="auto"/>
          <w:szCs w:val="21"/>
          <w:highlight w:val="none"/>
        </w:rPr>
      </w:pPr>
      <w:r>
        <w:rPr>
          <w:rFonts w:hint="eastAsia" w:ascii="宋体" w:hAnsi="宋体" w:eastAsia="宋体" w:cs="宋体"/>
          <w:i/>
          <w:color w:val="auto"/>
          <w:szCs w:val="21"/>
          <w:highlight w:val="none"/>
        </w:rPr>
        <w:t>1、</w:t>
      </w:r>
      <w:r>
        <w:rPr>
          <w:rFonts w:hint="eastAsia" w:ascii="宋体" w:hAnsi="宋体" w:eastAsia="宋体" w:cs="宋体"/>
          <w:bCs/>
          <w:i/>
          <w:iCs/>
          <w:color w:val="auto"/>
          <w:szCs w:val="21"/>
          <w:highlight w:val="none"/>
          <w:u w:val="single"/>
        </w:rPr>
        <w:t>磋商响应报价表必须加盖</w:t>
      </w:r>
      <w:r>
        <w:rPr>
          <w:rFonts w:hint="eastAsia" w:ascii="宋体" w:hAnsi="宋体" w:cs="宋体"/>
          <w:bCs/>
          <w:i/>
          <w:iCs/>
          <w:color w:val="auto"/>
          <w:szCs w:val="21"/>
          <w:highlight w:val="none"/>
          <w:u w:val="single"/>
          <w:lang w:val="en-US" w:eastAsia="zh-CN"/>
        </w:rPr>
        <w:t>供应商</w:t>
      </w:r>
      <w:r>
        <w:rPr>
          <w:rFonts w:hint="eastAsia" w:ascii="宋体" w:hAnsi="宋体" w:eastAsia="宋体" w:cs="宋体"/>
          <w:bCs/>
          <w:i/>
          <w:iCs/>
          <w:color w:val="auto"/>
          <w:szCs w:val="21"/>
          <w:highlight w:val="none"/>
          <w:u w:val="single"/>
        </w:rPr>
        <w:t>公章（复印件无效）</w:t>
      </w:r>
      <w:r>
        <w:rPr>
          <w:rFonts w:hint="eastAsia" w:ascii="宋体" w:hAnsi="宋体" w:eastAsia="宋体" w:cs="宋体"/>
          <w:i/>
          <w:color w:val="auto"/>
          <w:szCs w:val="21"/>
          <w:highlight w:val="none"/>
        </w:rPr>
        <w:t>。</w:t>
      </w:r>
    </w:p>
    <w:p w14:paraId="3B27871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2、此表可以根据需要自行增减行数，且该表报价非本次磋商中的最后报价。</w:t>
      </w:r>
    </w:p>
    <w:p w14:paraId="6DCAA366">
      <w:pPr>
        <w:spacing w:line="460" w:lineRule="exact"/>
        <w:rPr>
          <w:rFonts w:hint="eastAsia" w:ascii="宋体" w:hAnsi="宋体" w:eastAsia="宋体" w:cs="宋体"/>
          <w:bCs/>
          <w:color w:val="auto"/>
          <w:sz w:val="24"/>
          <w:highlight w:val="none"/>
        </w:rPr>
      </w:pPr>
    </w:p>
    <w:p w14:paraId="20458E93">
      <w:pPr>
        <w:spacing w:afterLines="100"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2B9CDAE3">
      <w:pPr>
        <w:spacing w:afterLines="100"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四、项目需求响应及偏离表</w:t>
      </w:r>
    </w:p>
    <w:p w14:paraId="3CB1EBE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p w14:paraId="7700CA0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p>
    <w:tbl>
      <w:tblPr>
        <w:tblStyle w:val="33"/>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3"/>
        <w:gridCol w:w="2275"/>
        <w:gridCol w:w="2085"/>
        <w:gridCol w:w="1443"/>
        <w:gridCol w:w="1283"/>
        <w:gridCol w:w="1500"/>
      </w:tblGrid>
      <w:tr w14:paraId="42941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2" w:type="dxa"/>
            <w:vAlign w:val="center"/>
          </w:tcPr>
          <w:p w14:paraId="7ACCA7FE">
            <w:pPr>
              <w:adjustRightInd w:val="0"/>
              <w:snapToGrid w:val="0"/>
              <w:spacing w:after="200" w:line="22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011" w:type="dxa"/>
            <w:vAlign w:val="center"/>
          </w:tcPr>
          <w:p w14:paraId="2AA28B1A">
            <w:pPr>
              <w:adjustRightInd w:val="0"/>
              <w:snapToGrid w:val="0"/>
              <w:spacing w:after="200" w:line="22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项目名称</w:t>
            </w:r>
          </w:p>
        </w:tc>
        <w:tc>
          <w:tcPr>
            <w:tcW w:w="1843" w:type="dxa"/>
            <w:vAlign w:val="center"/>
          </w:tcPr>
          <w:p w14:paraId="174CDF37">
            <w:pPr>
              <w:adjustRightInd w:val="0"/>
              <w:snapToGrid w:val="0"/>
              <w:spacing w:after="200" w:line="220" w:lineRule="atLeast"/>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磋商要求</w:t>
            </w:r>
          </w:p>
        </w:tc>
        <w:tc>
          <w:tcPr>
            <w:tcW w:w="1276" w:type="dxa"/>
            <w:vAlign w:val="center"/>
          </w:tcPr>
          <w:p w14:paraId="7877752B">
            <w:pPr>
              <w:adjustRightInd w:val="0"/>
              <w:snapToGrid w:val="0"/>
              <w:spacing w:after="200" w:line="22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投标响应</w:t>
            </w:r>
          </w:p>
        </w:tc>
        <w:tc>
          <w:tcPr>
            <w:tcW w:w="1134" w:type="dxa"/>
            <w:vAlign w:val="center"/>
          </w:tcPr>
          <w:p w14:paraId="7A54B0FF">
            <w:pPr>
              <w:adjustRightInd w:val="0"/>
              <w:snapToGrid w:val="0"/>
              <w:spacing w:after="200" w:line="22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超出、符合或偏离</w:t>
            </w:r>
          </w:p>
        </w:tc>
        <w:tc>
          <w:tcPr>
            <w:tcW w:w="1326" w:type="dxa"/>
            <w:vAlign w:val="center"/>
          </w:tcPr>
          <w:p w14:paraId="06C2D71B">
            <w:pPr>
              <w:adjustRightInd w:val="0"/>
              <w:snapToGrid w:val="0"/>
              <w:spacing w:after="200" w:line="22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原因或说明</w:t>
            </w:r>
          </w:p>
        </w:tc>
      </w:tr>
      <w:tr w14:paraId="71094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Pr>
          <w:p w14:paraId="0E9E4F25">
            <w:pPr>
              <w:adjustRightInd w:val="0"/>
              <w:snapToGrid w:val="0"/>
              <w:spacing w:after="200" w:line="220" w:lineRule="atLeast"/>
              <w:jc w:val="center"/>
              <w:rPr>
                <w:rFonts w:hint="eastAsia" w:ascii="宋体" w:hAnsi="宋体" w:eastAsia="宋体" w:cs="宋体"/>
                <w:color w:val="auto"/>
                <w:sz w:val="24"/>
                <w:szCs w:val="24"/>
                <w:highlight w:val="none"/>
              </w:rPr>
            </w:pPr>
          </w:p>
        </w:tc>
        <w:tc>
          <w:tcPr>
            <w:tcW w:w="2011" w:type="dxa"/>
          </w:tcPr>
          <w:p w14:paraId="4DF0BBF3">
            <w:pPr>
              <w:adjustRightInd w:val="0"/>
              <w:snapToGrid w:val="0"/>
              <w:spacing w:after="200" w:line="220" w:lineRule="atLeast"/>
              <w:jc w:val="center"/>
              <w:rPr>
                <w:rFonts w:hint="eastAsia" w:ascii="宋体" w:hAnsi="宋体" w:eastAsia="宋体" w:cs="宋体"/>
                <w:color w:val="auto"/>
                <w:sz w:val="24"/>
                <w:szCs w:val="24"/>
                <w:highlight w:val="none"/>
              </w:rPr>
            </w:pPr>
          </w:p>
        </w:tc>
        <w:tc>
          <w:tcPr>
            <w:tcW w:w="1843" w:type="dxa"/>
          </w:tcPr>
          <w:p w14:paraId="561B1B66">
            <w:pPr>
              <w:adjustRightInd w:val="0"/>
              <w:snapToGrid w:val="0"/>
              <w:spacing w:after="200" w:line="220" w:lineRule="atLeast"/>
              <w:jc w:val="center"/>
              <w:rPr>
                <w:rFonts w:hint="eastAsia" w:ascii="宋体" w:hAnsi="宋体" w:eastAsia="宋体" w:cs="宋体"/>
                <w:color w:val="auto"/>
                <w:sz w:val="24"/>
                <w:szCs w:val="24"/>
                <w:highlight w:val="none"/>
              </w:rPr>
            </w:pPr>
          </w:p>
        </w:tc>
        <w:tc>
          <w:tcPr>
            <w:tcW w:w="1276" w:type="dxa"/>
          </w:tcPr>
          <w:p w14:paraId="65FC955C">
            <w:pPr>
              <w:adjustRightInd w:val="0"/>
              <w:snapToGrid w:val="0"/>
              <w:spacing w:after="200" w:line="220" w:lineRule="atLeast"/>
              <w:jc w:val="center"/>
              <w:rPr>
                <w:rFonts w:hint="eastAsia" w:ascii="宋体" w:hAnsi="宋体" w:eastAsia="宋体" w:cs="宋体"/>
                <w:color w:val="auto"/>
                <w:sz w:val="24"/>
                <w:szCs w:val="24"/>
                <w:highlight w:val="none"/>
              </w:rPr>
            </w:pPr>
          </w:p>
        </w:tc>
        <w:tc>
          <w:tcPr>
            <w:tcW w:w="1134" w:type="dxa"/>
          </w:tcPr>
          <w:p w14:paraId="71DB6F01">
            <w:pPr>
              <w:adjustRightInd w:val="0"/>
              <w:snapToGrid w:val="0"/>
              <w:spacing w:after="200" w:line="220" w:lineRule="atLeast"/>
              <w:jc w:val="center"/>
              <w:rPr>
                <w:rFonts w:hint="eastAsia" w:ascii="宋体" w:hAnsi="宋体" w:eastAsia="宋体" w:cs="宋体"/>
                <w:color w:val="auto"/>
                <w:sz w:val="24"/>
                <w:szCs w:val="24"/>
                <w:highlight w:val="none"/>
              </w:rPr>
            </w:pPr>
          </w:p>
        </w:tc>
        <w:tc>
          <w:tcPr>
            <w:tcW w:w="1326" w:type="dxa"/>
          </w:tcPr>
          <w:p w14:paraId="06ABB569">
            <w:pPr>
              <w:adjustRightInd w:val="0"/>
              <w:snapToGrid w:val="0"/>
              <w:spacing w:after="200" w:line="220" w:lineRule="atLeast"/>
              <w:jc w:val="center"/>
              <w:rPr>
                <w:rFonts w:hint="eastAsia" w:ascii="宋体" w:hAnsi="宋体" w:eastAsia="宋体" w:cs="宋体"/>
                <w:color w:val="auto"/>
                <w:sz w:val="24"/>
                <w:szCs w:val="24"/>
                <w:highlight w:val="none"/>
              </w:rPr>
            </w:pPr>
          </w:p>
        </w:tc>
      </w:tr>
      <w:tr w14:paraId="392A6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Pr>
          <w:p w14:paraId="5413A75B">
            <w:pPr>
              <w:adjustRightInd w:val="0"/>
              <w:snapToGrid w:val="0"/>
              <w:spacing w:after="200" w:line="220" w:lineRule="atLeast"/>
              <w:jc w:val="center"/>
              <w:rPr>
                <w:rFonts w:hint="eastAsia" w:ascii="宋体" w:hAnsi="宋体" w:eastAsia="宋体" w:cs="宋体"/>
                <w:color w:val="auto"/>
                <w:sz w:val="24"/>
                <w:szCs w:val="24"/>
                <w:highlight w:val="none"/>
              </w:rPr>
            </w:pPr>
          </w:p>
        </w:tc>
        <w:tc>
          <w:tcPr>
            <w:tcW w:w="2011" w:type="dxa"/>
          </w:tcPr>
          <w:p w14:paraId="4F712E5E">
            <w:pPr>
              <w:adjustRightInd w:val="0"/>
              <w:snapToGrid w:val="0"/>
              <w:spacing w:after="200" w:line="220" w:lineRule="atLeast"/>
              <w:jc w:val="center"/>
              <w:rPr>
                <w:rFonts w:hint="eastAsia" w:ascii="宋体" w:hAnsi="宋体" w:eastAsia="宋体" w:cs="宋体"/>
                <w:color w:val="auto"/>
                <w:sz w:val="24"/>
                <w:szCs w:val="24"/>
                <w:highlight w:val="none"/>
              </w:rPr>
            </w:pPr>
          </w:p>
        </w:tc>
        <w:tc>
          <w:tcPr>
            <w:tcW w:w="1843" w:type="dxa"/>
          </w:tcPr>
          <w:p w14:paraId="1D53C3D5">
            <w:pPr>
              <w:adjustRightInd w:val="0"/>
              <w:snapToGrid w:val="0"/>
              <w:spacing w:after="200" w:line="220" w:lineRule="atLeast"/>
              <w:jc w:val="center"/>
              <w:rPr>
                <w:rFonts w:hint="eastAsia" w:ascii="宋体" w:hAnsi="宋体" w:eastAsia="宋体" w:cs="宋体"/>
                <w:color w:val="auto"/>
                <w:sz w:val="24"/>
                <w:szCs w:val="24"/>
                <w:highlight w:val="none"/>
              </w:rPr>
            </w:pPr>
          </w:p>
        </w:tc>
        <w:tc>
          <w:tcPr>
            <w:tcW w:w="1276" w:type="dxa"/>
          </w:tcPr>
          <w:p w14:paraId="47F5FBFC">
            <w:pPr>
              <w:adjustRightInd w:val="0"/>
              <w:snapToGrid w:val="0"/>
              <w:spacing w:after="200" w:line="220" w:lineRule="atLeast"/>
              <w:jc w:val="center"/>
              <w:rPr>
                <w:rFonts w:hint="eastAsia" w:ascii="宋体" w:hAnsi="宋体" w:eastAsia="宋体" w:cs="宋体"/>
                <w:color w:val="auto"/>
                <w:sz w:val="24"/>
                <w:szCs w:val="24"/>
                <w:highlight w:val="none"/>
              </w:rPr>
            </w:pPr>
          </w:p>
        </w:tc>
        <w:tc>
          <w:tcPr>
            <w:tcW w:w="1134" w:type="dxa"/>
          </w:tcPr>
          <w:p w14:paraId="21360CC9">
            <w:pPr>
              <w:adjustRightInd w:val="0"/>
              <w:snapToGrid w:val="0"/>
              <w:spacing w:after="200" w:line="220" w:lineRule="atLeast"/>
              <w:jc w:val="center"/>
              <w:rPr>
                <w:rFonts w:hint="eastAsia" w:ascii="宋体" w:hAnsi="宋体" w:eastAsia="宋体" w:cs="宋体"/>
                <w:color w:val="auto"/>
                <w:sz w:val="24"/>
                <w:szCs w:val="24"/>
                <w:highlight w:val="none"/>
              </w:rPr>
            </w:pPr>
          </w:p>
        </w:tc>
        <w:tc>
          <w:tcPr>
            <w:tcW w:w="1326" w:type="dxa"/>
          </w:tcPr>
          <w:p w14:paraId="5BCB47D5">
            <w:pPr>
              <w:adjustRightInd w:val="0"/>
              <w:snapToGrid w:val="0"/>
              <w:spacing w:after="200" w:line="220" w:lineRule="atLeast"/>
              <w:jc w:val="center"/>
              <w:rPr>
                <w:rFonts w:hint="eastAsia" w:ascii="宋体" w:hAnsi="宋体" w:eastAsia="宋体" w:cs="宋体"/>
                <w:color w:val="auto"/>
                <w:sz w:val="24"/>
                <w:szCs w:val="24"/>
                <w:highlight w:val="none"/>
              </w:rPr>
            </w:pPr>
          </w:p>
        </w:tc>
      </w:tr>
      <w:tr w14:paraId="3FDB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Pr>
          <w:p w14:paraId="0CF2A83F">
            <w:pPr>
              <w:adjustRightInd w:val="0"/>
              <w:snapToGrid w:val="0"/>
              <w:spacing w:after="200" w:line="220" w:lineRule="atLeast"/>
              <w:jc w:val="center"/>
              <w:rPr>
                <w:rFonts w:hint="eastAsia" w:ascii="宋体" w:hAnsi="宋体" w:eastAsia="宋体" w:cs="宋体"/>
                <w:color w:val="auto"/>
                <w:sz w:val="24"/>
                <w:szCs w:val="24"/>
                <w:highlight w:val="none"/>
              </w:rPr>
            </w:pPr>
          </w:p>
        </w:tc>
        <w:tc>
          <w:tcPr>
            <w:tcW w:w="2011" w:type="dxa"/>
          </w:tcPr>
          <w:p w14:paraId="348DD0D1">
            <w:pPr>
              <w:adjustRightInd w:val="0"/>
              <w:snapToGrid w:val="0"/>
              <w:spacing w:after="200" w:line="220" w:lineRule="atLeast"/>
              <w:jc w:val="center"/>
              <w:rPr>
                <w:rFonts w:hint="eastAsia" w:ascii="宋体" w:hAnsi="宋体" w:eastAsia="宋体" w:cs="宋体"/>
                <w:color w:val="auto"/>
                <w:sz w:val="24"/>
                <w:szCs w:val="24"/>
                <w:highlight w:val="none"/>
              </w:rPr>
            </w:pPr>
          </w:p>
        </w:tc>
        <w:tc>
          <w:tcPr>
            <w:tcW w:w="1843" w:type="dxa"/>
          </w:tcPr>
          <w:p w14:paraId="0D78698E">
            <w:pPr>
              <w:adjustRightInd w:val="0"/>
              <w:snapToGrid w:val="0"/>
              <w:spacing w:after="200" w:line="220" w:lineRule="atLeast"/>
              <w:jc w:val="center"/>
              <w:rPr>
                <w:rFonts w:hint="eastAsia" w:ascii="宋体" w:hAnsi="宋体" w:eastAsia="宋体" w:cs="宋体"/>
                <w:color w:val="auto"/>
                <w:sz w:val="24"/>
                <w:szCs w:val="24"/>
                <w:highlight w:val="none"/>
              </w:rPr>
            </w:pPr>
          </w:p>
        </w:tc>
        <w:tc>
          <w:tcPr>
            <w:tcW w:w="1276" w:type="dxa"/>
          </w:tcPr>
          <w:p w14:paraId="5FB2DC2F">
            <w:pPr>
              <w:adjustRightInd w:val="0"/>
              <w:snapToGrid w:val="0"/>
              <w:spacing w:after="200" w:line="220" w:lineRule="atLeast"/>
              <w:jc w:val="center"/>
              <w:rPr>
                <w:rFonts w:hint="eastAsia" w:ascii="宋体" w:hAnsi="宋体" w:eastAsia="宋体" w:cs="宋体"/>
                <w:color w:val="auto"/>
                <w:sz w:val="24"/>
                <w:szCs w:val="24"/>
                <w:highlight w:val="none"/>
              </w:rPr>
            </w:pPr>
          </w:p>
        </w:tc>
        <w:tc>
          <w:tcPr>
            <w:tcW w:w="1134" w:type="dxa"/>
          </w:tcPr>
          <w:p w14:paraId="6C7FD7C0">
            <w:pPr>
              <w:adjustRightInd w:val="0"/>
              <w:snapToGrid w:val="0"/>
              <w:spacing w:after="200" w:line="220" w:lineRule="atLeast"/>
              <w:jc w:val="center"/>
              <w:rPr>
                <w:rFonts w:hint="eastAsia" w:ascii="宋体" w:hAnsi="宋体" w:eastAsia="宋体" w:cs="宋体"/>
                <w:color w:val="auto"/>
                <w:sz w:val="24"/>
                <w:szCs w:val="24"/>
                <w:highlight w:val="none"/>
              </w:rPr>
            </w:pPr>
          </w:p>
        </w:tc>
        <w:tc>
          <w:tcPr>
            <w:tcW w:w="1326" w:type="dxa"/>
          </w:tcPr>
          <w:p w14:paraId="272EE857">
            <w:pPr>
              <w:adjustRightInd w:val="0"/>
              <w:snapToGrid w:val="0"/>
              <w:spacing w:after="200" w:line="220" w:lineRule="atLeast"/>
              <w:jc w:val="center"/>
              <w:rPr>
                <w:rFonts w:hint="eastAsia" w:ascii="宋体" w:hAnsi="宋体" w:eastAsia="宋体" w:cs="宋体"/>
                <w:color w:val="auto"/>
                <w:sz w:val="24"/>
                <w:szCs w:val="24"/>
                <w:highlight w:val="none"/>
              </w:rPr>
            </w:pPr>
          </w:p>
        </w:tc>
      </w:tr>
      <w:tr w14:paraId="20CA9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Pr>
          <w:p w14:paraId="4A722810">
            <w:pPr>
              <w:adjustRightInd w:val="0"/>
              <w:snapToGrid w:val="0"/>
              <w:spacing w:after="200" w:line="220" w:lineRule="atLeast"/>
              <w:jc w:val="center"/>
              <w:rPr>
                <w:rFonts w:hint="eastAsia" w:ascii="宋体" w:hAnsi="宋体" w:eastAsia="宋体" w:cs="宋体"/>
                <w:color w:val="auto"/>
                <w:sz w:val="24"/>
                <w:szCs w:val="24"/>
                <w:highlight w:val="none"/>
              </w:rPr>
            </w:pPr>
          </w:p>
        </w:tc>
        <w:tc>
          <w:tcPr>
            <w:tcW w:w="2011" w:type="dxa"/>
          </w:tcPr>
          <w:p w14:paraId="427743C4">
            <w:pPr>
              <w:adjustRightInd w:val="0"/>
              <w:snapToGrid w:val="0"/>
              <w:spacing w:after="200" w:line="220" w:lineRule="atLeast"/>
              <w:jc w:val="center"/>
              <w:rPr>
                <w:rFonts w:hint="eastAsia" w:ascii="宋体" w:hAnsi="宋体" w:eastAsia="宋体" w:cs="宋体"/>
                <w:color w:val="auto"/>
                <w:sz w:val="24"/>
                <w:szCs w:val="24"/>
                <w:highlight w:val="none"/>
              </w:rPr>
            </w:pPr>
          </w:p>
        </w:tc>
        <w:tc>
          <w:tcPr>
            <w:tcW w:w="1843" w:type="dxa"/>
          </w:tcPr>
          <w:p w14:paraId="4A594C29">
            <w:pPr>
              <w:adjustRightInd w:val="0"/>
              <w:snapToGrid w:val="0"/>
              <w:spacing w:after="200" w:line="220" w:lineRule="atLeast"/>
              <w:jc w:val="center"/>
              <w:rPr>
                <w:rFonts w:hint="eastAsia" w:ascii="宋体" w:hAnsi="宋体" w:eastAsia="宋体" w:cs="宋体"/>
                <w:color w:val="auto"/>
                <w:sz w:val="24"/>
                <w:szCs w:val="24"/>
                <w:highlight w:val="none"/>
              </w:rPr>
            </w:pPr>
          </w:p>
        </w:tc>
        <w:tc>
          <w:tcPr>
            <w:tcW w:w="1276" w:type="dxa"/>
          </w:tcPr>
          <w:p w14:paraId="736535F6">
            <w:pPr>
              <w:adjustRightInd w:val="0"/>
              <w:snapToGrid w:val="0"/>
              <w:spacing w:after="200" w:line="220" w:lineRule="atLeast"/>
              <w:jc w:val="center"/>
              <w:rPr>
                <w:rFonts w:hint="eastAsia" w:ascii="宋体" w:hAnsi="宋体" w:eastAsia="宋体" w:cs="宋体"/>
                <w:color w:val="auto"/>
                <w:sz w:val="24"/>
                <w:szCs w:val="24"/>
                <w:highlight w:val="none"/>
              </w:rPr>
            </w:pPr>
          </w:p>
        </w:tc>
        <w:tc>
          <w:tcPr>
            <w:tcW w:w="1134" w:type="dxa"/>
          </w:tcPr>
          <w:p w14:paraId="1B75BC86">
            <w:pPr>
              <w:adjustRightInd w:val="0"/>
              <w:snapToGrid w:val="0"/>
              <w:spacing w:after="200" w:line="220" w:lineRule="atLeast"/>
              <w:jc w:val="center"/>
              <w:rPr>
                <w:rFonts w:hint="eastAsia" w:ascii="宋体" w:hAnsi="宋体" w:eastAsia="宋体" w:cs="宋体"/>
                <w:color w:val="auto"/>
                <w:sz w:val="24"/>
                <w:szCs w:val="24"/>
                <w:highlight w:val="none"/>
              </w:rPr>
            </w:pPr>
          </w:p>
        </w:tc>
        <w:tc>
          <w:tcPr>
            <w:tcW w:w="1326" w:type="dxa"/>
          </w:tcPr>
          <w:p w14:paraId="29A4334D">
            <w:pPr>
              <w:adjustRightInd w:val="0"/>
              <w:snapToGrid w:val="0"/>
              <w:spacing w:after="200" w:line="220" w:lineRule="atLeast"/>
              <w:jc w:val="center"/>
              <w:rPr>
                <w:rFonts w:hint="eastAsia" w:ascii="宋体" w:hAnsi="宋体" w:eastAsia="宋体" w:cs="宋体"/>
                <w:color w:val="auto"/>
                <w:sz w:val="24"/>
                <w:szCs w:val="24"/>
                <w:highlight w:val="none"/>
              </w:rPr>
            </w:pPr>
          </w:p>
        </w:tc>
      </w:tr>
      <w:tr w14:paraId="47EA7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Pr>
          <w:p w14:paraId="723046FE">
            <w:pPr>
              <w:adjustRightInd w:val="0"/>
              <w:snapToGrid w:val="0"/>
              <w:spacing w:after="200" w:line="220" w:lineRule="atLeast"/>
              <w:jc w:val="center"/>
              <w:rPr>
                <w:rFonts w:hint="eastAsia" w:ascii="宋体" w:hAnsi="宋体" w:eastAsia="宋体" w:cs="宋体"/>
                <w:color w:val="auto"/>
                <w:sz w:val="24"/>
                <w:szCs w:val="24"/>
                <w:highlight w:val="none"/>
              </w:rPr>
            </w:pPr>
          </w:p>
        </w:tc>
        <w:tc>
          <w:tcPr>
            <w:tcW w:w="2011" w:type="dxa"/>
          </w:tcPr>
          <w:p w14:paraId="4986A395">
            <w:pPr>
              <w:adjustRightInd w:val="0"/>
              <w:snapToGrid w:val="0"/>
              <w:spacing w:after="200" w:line="220" w:lineRule="atLeast"/>
              <w:jc w:val="center"/>
              <w:rPr>
                <w:rFonts w:hint="eastAsia" w:ascii="宋体" w:hAnsi="宋体" w:eastAsia="宋体" w:cs="宋体"/>
                <w:color w:val="auto"/>
                <w:sz w:val="24"/>
                <w:szCs w:val="24"/>
                <w:highlight w:val="none"/>
              </w:rPr>
            </w:pPr>
          </w:p>
        </w:tc>
        <w:tc>
          <w:tcPr>
            <w:tcW w:w="1843" w:type="dxa"/>
          </w:tcPr>
          <w:p w14:paraId="4FAE4127">
            <w:pPr>
              <w:adjustRightInd w:val="0"/>
              <w:snapToGrid w:val="0"/>
              <w:spacing w:after="200" w:line="220" w:lineRule="atLeast"/>
              <w:jc w:val="center"/>
              <w:rPr>
                <w:rFonts w:hint="eastAsia" w:ascii="宋体" w:hAnsi="宋体" w:eastAsia="宋体" w:cs="宋体"/>
                <w:color w:val="auto"/>
                <w:sz w:val="24"/>
                <w:szCs w:val="24"/>
                <w:highlight w:val="none"/>
              </w:rPr>
            </w:pPr>
          </w:p>
        </w:tc>
        <w:tc>
          <w:tcPr>
            <w:tcW w:w="1276" w:type="dxa"/>
          </w:tcPr>
          <w:p w14:paraId="4E3231CF">
            <w:pPr>
              <w:adjustRightInd w:val="0"/>
              <w:snapToGrid w:val="0"/>
              <w:spacing w:after="200" w:line="220" w:lineRule="atLeast"/>
              <w:jc w:val="center"/>
              <w:rPr>
                <w:rFonts w:hint="eastAsia" w:ascii="宋体" w:hAnsi="宋体" w:eastAsia="宋体" w:cs="宋体"/>
                <w:color w:val="auto"/>
                <w:sz w:val="24"/>
                <w:szCs w:val="24"/>
                <w:highlight w:val="none"/>
              </w:rPr>
            </w:pPr>
          </w:p>
        </w:tc>
        <w:tc>
          <w:tcPr>
            <w:tcW w:w="1134" w:type="dxa"/>
          </w:tcPr>
          <w:p w14:paraId="1397AE38">
            <w:pPr>
              <w:adjustRightInd w:val="0"/>
              <w:snapToGrid w:val="0"/>
              <w:spacing w:after="200" w:line="220" w:lineRule="atLeast"/>
              <w:jc w:val="center"/>
              <w:rPr>
                <w:rFonts w:hint="eastAsia" w:ascii="宋体" w:hAnsi="宋体" w:eastAsia="宋体" w:cs="宋体"/>
                <w:color w:val="auto"/>
                <w:sz w:val="24"/>
                <w:szCs w:val="24"/>
                <w:highlight w:val="none"/>
              </w:rPr>
            </w:pPr>
          </w:p>
        </w:tc>
        <w:tc>
          <w:tcPr>
            <w:tcW w:w="1326" w:type="dxa"/>
          </w:tcPr>
          <w:p w14:paraId="66EF09AE">
            <w:pPr>
              <w:adjustRightInd w:val="0"/>
              <w:snapToGrid w:val="0"/>
              <w:spacing w:after="200" w:line="220" w:lineRule="atLeast"/>
              <w:jc w:val="center"/>
              <w:rPr>
                <w:rFonts w:hint="eastAsia" w:ascii="宋体" w:hAnsi="宋体" w:eastAsia="宋体" w:cs="宋体"/>
                <w:color w:val="auto"/>
                <w:sz w:val="24"/>
                <w:szCs w:val="24"/>
                <w:highlight w:val="none"/>
              </w:rPr>
            </w:pPr>
          </w:p>
        </w:tc>
      </w:tr>
      <w:tr w14:paraId="58476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Pr>
          <w:p w14:paraId="1185443A">
            <w:pPr>
              <w:adjustRightInd w:val="0"/>
              <w:snapToGrid w:val="0"/>
              <w:spacing w:after="200" w:line="220" w:lineRule="atLeast"/>
              <w:jc w:val="center"/>
              <w:rPr>
                <w:rFonts w:hint="eastAsia" w:ascii="宋体" w:hAnsi="宋体" w:eastAsia="宋体" w:cs="宋体"/>
                <w:color w:val="auto"/>
                <w:sz w:val="24"/>
                <w:szCs w:val="24"/>
                <w:highlight w:val="none"/>
              </w:rPr>
            </w:pPr>
          </w:p>
        </w:tc>
        <w:tc>
          <w:tcPr>
            <w:tcW w:w="2011" w:type="dxa"/>
          </w:tcPr>
          <w:p w14:paraId="4F64F4A9">
            <w:pPr>
              <w:adjustRightInd w:val="0"/>
              <w:snapToGrid w:val="0"/>
              <w:spacing w:after="200" w:line="220" w:lineRule="atLeast"/>
              <w:jc w:val="center"/>
              <w:rPr>
                <w:rFonts w:hint="eastAsia" w:ascii="宋体" w:hAnsi="宋体" w:eastAsia="宋体" w:cs="宋体"/>
                <w:color w:val="auto"/>
                <w:sz w:val="24"/>
                <w:szCs w:val="24"/>
                <w:highlight w:val="none"/>
              </w:rPr>
            </w:pPr>
          </w:p>
        </w:tc>
        <w:tc>
          <w:tcPr>
            <w:tcW w:w="1843" w:type="dxa"/>
          </w:tcPr>
          <w:p w14:paraId="42AB2F7A">
            <w:pPr>
              <w:adjustRightInd w:val="0"/>
              <w:snapToGrid w:val="0"/>
              <w:spacing w:after="200" w:line="220" w:lineRule="atLeast"/>
              <w:jc w:val="center"/>
              <w:rPr>
                <w:rFonts w:hint="eastAsia" w:ascii="宋体" w:hAnsi="宋体" w:eastAsia="宋体" w:cs="宋体"/>
                <w:color w:val="auto"/>
                <w:sz w:val="24"/>
                <w:szCs w:val="24"/>
                <w:highlight w:val="none"/>
              </w:rPr>
            </w:pPr>
          </w:p>
        </w:tc>
        <w:tc>
          <w:tcPr>
            <w:tcW w:w="1276" w:type="dxa"/>
          </w:tcPr>
          <w:p w14:paraId="078A0F90">
            <w:pPr>
              <w:adjustRightInd w:val="0"/>
              <w:snapToGrid w:val="0"/>
              <w:spacing w:after="200" w:line="220" w:lineRule="atLeast"/>
              <w:jc w:val="center"/>
              <w:rPr>
                <w:rFonts w:hint="eastAsia" w:ascii="宋体" w:hAnsi="宋体" w:eastAsia="宋体" w:cs="宋体"/>
                <w:color w:val="auto"/>
                <w:sz w:val="24"/>
                <w:szCs w:val="24"/>
                <w:highlight w:val="none"/>
              </w:rPr>
            </w:pPr>
          </w:p>
        </w:tc>
        <w:tc>
          <w:tcPr>
            <w:tcW w:w="1134" w:type="dxa"/>
          </w:tcPr>
          <w:p w14:paraId="2306859D">
            <w:pPr>
              <w:adjustRightInd w:val="0"/>
              <w:snapToGrid w:val="0"/>
              <w:spacing w:after="200" w:line="220" w:lineRule="atLeast"/>
              <w:jc w:val="center"/>
              <w:rPr>
                <w:rFonts w:hint="eastAsia" w:ascii="宋体" w:hAnsi="宋体" w:eastAsia="宋体" w:cs="宋体"/>
                <w:color w:val="auto"/>
                <w:sz w:val="24"/>
                <w:szCs w:val="24"/>
                <w:highlight w:val="none"/>
              </w:rPr>
            </w:pPr>
          </w:p>
        </w:tc>
        <w:tc>
          <w:tcPr>
            <w:tcW w:w="1326" w:type="dxa"/>
          </w:tcPr>
          <w:p w14:paraId="41116931">
            <w:pPr>
              <w:adjustRightInd w:val="0"/>
              <w:snapToGrid w:val="0"/>
              <w:spacing w:after="200" w:line="220" w:lineRule="atLeast"/>
              <w:jc w:val="center"/>
              <w:rPr>
                <w:rFonts w:hint="eastAsia" w:ascii="宋体" w:hAnsi="宋体" w:eastAsia="宋体" w:cs="宋体"/>
                <w:color w:val="auto"/>
                <w:sz w:val="24"/>
                <w:szCs w:val="24"/>
                <w:highlight w:val="none"/>
              </w:rPr>
            </w:pPr>
          </w:p>
        </w:tc>
      </w:tr>
      <w:tr w14:paraId="330CB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Pr>
          <w:p w14:paraId="74FA49E4">
            <w:pPr>
              <w:adjustRightInd w:val="0"/>
              <w:snapToGrid w:val="0"/>
              <w:spacing w:after="200" w:line="220" w:lineRule="atLeast"/>
              <w:jc w:val="center"/>
              <w:rPr>
                <w:rFonts w:hint="eastAsia" w:ascii="宋体" w:hAnsi="宋体" w:eastAsia="宋体" w:cs="宋体"/>
                <w:color w:val="auto"/>
                <w:sz w:val="24"/>
                <w:szCs w:val="24"/>
                <w:highlight w:val="none"/>
              </w:rPr>
            </w:pPr>
          </w:p>
        </w:tc>
        <w:tc>
          <w:tcPr>
            <w:tcW w:w="2011" w:type="dxa"/>
          </w:tcPr>
          <w:p w14:paraId="7FEDDDA9">
            <w:pPr>
              <w:adjustRightInd w:val="0"/>
              <w:snapToGrid w:val="0"/>
              <w:spacing w:after="200" w:line="220" w:lineRule="atLeast"/>
              <w:jc w:val="center"/>
              <w:rPr>
                <w:rFonts w:hint="eastAsia" w:ascii="宋体" w:hAnsi="宋体" w:eastAsia="宋体" w:cs="宋体"/>
                <w:color w:val="auto"/>
                <w:sz w:val="24"/>
                <w:szCs w:val="24"/>
                <w:highlight w:val="none"/>
              </w:rPr>
            </w:pPr>
          </w:p>
        </w:tc>
        <w:tc>
          <w:tcPr>
            <w:tcW w:w="1843" w:type="dxa"/>
          </w:tcPr>
          <w:p w14:paraId="325A5CD3">
            <w:pPr>
              <w:adjustRightInd w:val="0"/>
              <w:snapToGrid w:val="0"/>
              <w:spacing w:after="200" w:line="220" w:lineRule="atLeast"/>
              <w:jc w:val="center"/>
              <w:rPr>
                <w:rFonts w:hint="eastAsia" w:ascii="宋体" w:hAnsi="宋体" w:eastAsia="宋体" w:cs="宋体"/>
                <w:color w:val="auto"/>
                <w:sz w:val="24"/>
                <w:szCs w:val="24"/>
                <w:highlight w:val="none"/>
              </w:rPr>
            </w:pPr>
          </w:p>
        </w:tc>
        <w:tc>
          <w:tcPr>
            <w:tcW w:w="1276" w:type="dxa"/>
          </w:tcPr>
          <w:p w14:paraId="3002E169">
            <w:pPr>
              <w:adjustRightInd w:val="0"/>
              <w:snapToGrid w:val="0"/>
              <w:spacing w:after="200" w:line="220" w:lineRule="atLeast"/>
              <w:jc w:val="center"/>
              <w:rPr>
                <w:rFonts w:hint="eastAsia" w:ascii="宋体" w:hAnsi="宋体" w:eastAsia="宋体" w:cs="宋体"/>
                <w:color w:val="auto"/>
                <w:sz w:val="24"/>
                <w:szCs w:val="24"/>
                <w:highlight w:val="none"/>
              </w:rPr>
            </w:pPr>
          </w:p>
        </w:tc>
        <w:tc>
          <w:tcPr>
            <w:tcW w:w="1134" w:type="dxa"/>
          </w:tcPr>
          <w:p w14:paraId="5AED4ECD">
            <w:pPr>
              <w:adjustRightInd w:val="0"/>
              <w:snapToGrid w:val="0"/>
              <w:spacing w:after="200" w:line="220" w:lineRule="atLeast"/>
              <w:jc w:val="center"/>
              <w:rPr>
                <w:rFonts w:hint="eastAsia" w:ascii="宋体" w:hAnsi="宋体" w:eastAsia="宋体" w:cs="宋体"/>
                <w:color w:val="auto"/>
                <w:sz w:val="24"/>
                <w:szCs w:val="24"/>
                <w:highlight w:val="none"/>
              </w:rPr>
            </w:pPr>
          </w:p>
        </w:tc>
        <w:tc>
          <w:tcPr>
            <w:tcW w:w="1326" w:type="dxa"/>
          </w:tcPr>
          <w:p w14:paraId="5296C3E8">
            <w:pPr>
              <w:adjustRightInd w:val="0"/>
              <w:snapToGrid w:val="0"/>
              <w:spacing w:after="200" w:line="220" w:lineRule="atLeast"/>
              <w:jc w:val="center"/>
              <w:rPr>
                <w:rFonts w:hint="eastAsia" w:ascii="宋体" w:hAnsi="宋体" w:eastAsia="宋体" w:cs="宋体"/>
                <w:color w:val="auto"/>
                <w:sz w:val="24"/>
                <w:szCs w:val="24"/>
                <w:highlight w:val="none"/>
              </w:rPr>
            </w:pPr>
          </w:p>
        </w:tc>
      </w:tr>
      <w:tr w14:paraId="35E30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Pr>
          <w:p w14:paraId="5EAD669B">
            <w:pPr>
              <w:adjustRightInd w:val="0"/>
              <w:snapToGrid w:val="0"/>
              <w:spacing w:after="200" w:line="220" w:lineRule="atLeast"/>
              <w:jc w:val="center"/>
              <w:rPr>
                <w:rFonts w:hint="eastAsia" w:ascii="宋体" w:hAnsi="宋体" w:eastAsia="宋体" w:cs="宋体"/>
                <w:color w:val="auto"/>
                <w:sz w:val="24"/>
                <w:szCs w:val="24"/>
                <w:highlight w:val="none"/>
              </w:rPr>
            </w:pPr>
          </w:p>
        </w:tc>
        <w:tc>
          <w:tcPr>
            <w:tcW w:w="2011" w:type="dxa"/>
          </w:tcPr>
          <w:p w14:paraId="0EA4552F">
            <w:pPr>
              <w:adjustRightInd w:val="0"/>
              <w:snapToGrid w:val="0"/>
              <w:spacing w:after="200" w:line="220" w:lineRule="atLeast"/>
              <w:jc w:val="center"/>
              <w:rPr>
                <w:rFonts w:hint="eastAsia" w:ascii="宋体" w:hAnsi="宋体" w:eastAsia="宋体" w:cs="宋体"/>
                <w:color w:val="auto"/>
                <w:sz w:val="24"/>
                <w:szCs w:val="24"/>
                <w:highlight w:val="none"/>
              </w:rPr>
            </w:pPr>
          </w:p>
        </w:tc>
        <w:tc>
          <w:tcPr>
            <w:tcW w:w="1843" w:type="dxa"/>
          </w:tcPr>
          <w:p w14:paraId="38107010">
            <w:pPr>
              <w:adjustRightInd w:val="0"/>
              <w:snapToGrid w:val="0"/>
              <w:spacing w:after="200" w:line="220" w:lineRule="atLeast"/>
              <w:jc w:val="center"/>
              <w:rPr>
                <w:rFonts w:hint="eastAsia" w:ascii="宋体" w:hAnsi="宋体" w:eastAsia="宋体" w:cs="宋体"/>
                <w:color w:val="auto"/>
                <w:sz w:val="24"/>
                <w:szCs w:val="24"/>
                <w:highlight w:val="none"/>
              </w:rPr>
            </w:pPr>
          </w:p>
        </w:tc>
        <w:tc>
          <w:tcPr>
            <w:tcW w:w="1276" w:type="dxa"/>
          </w:tcPr>
          <w:p w14:paraId="1C26598F">
            <w:pPr>
              <w:adjustRightInd w:val="0"/>
              <w:snapToGrid w:val="0"/>
              <w:spacing w:after="200" w:line="220" w:lineRule="atLeast"/>
              <w:jc w:val="center"/>
              <w:rPr>
                <w:rFonts w:hint="eastAsia" w:ascii="宋体" w:hAnsi="宋体" w:eastAsia="宋体" w:cs="宋体"/>
                <w:color w:val="auto"/>
                <w:sz w:val="24"/>
                <w:szCs w:val="24"/>
                <w:highlight w:val="none"/>
              </w:rPr>
            </w:pPr>
          </w:p>
        </w:tc>
        <w:tc>
          <w:tcPr>
            <w:tcW w:w="1134" w:type="dxa"/>
          </w:tcPr>
          <w:p w14:paraId="061E62C4">
            <w:pPr>
              <w:adjustRightInd w:val="0"/>
              <w:snapToGrid w:val="0"/>
              <w:spacing w:after="200" w:line="220" w:lineRule="atLeast"/>
              <w:jc w:val="center"/>
              <w:rPr>
                <w:rFonts w:hint="eastAsia" w:ascii="宋体" w:hAnsi="宋体" w:eastAsia="宋体" w:cs="宋体"/>
                <w:color w:val="auto"/>
                <w:sz w:val="24"/>
                <w:szCs w:val="24"/>
                <w:highlight w:val="none"/>
              </w:rPr>
            </w:pPr>
          </w:p>
        </w:tc>
        <w:tc>
          <w:tcPr>
            <w:tcW w:w="1326" w:type="dxa"/>
          </w:tcPr>
          <w:p w14:paraId="56455D56">
            <w:pPr>
              <w:adjustRightInd w:val="0"/>
              <w:snapToGrid w:val="0"/>
              <w:spacing w:after="200" w:line="220" w:lineRule="atLeast"/>
              <w:jc w:val="center"/>
              <w:rPr>
                <w:rFonts w:hint="eastAsia" w:ascii="宋体" w:hAnsi="宋体" w:eastAsia="宋体" w:cs="宋体"/>
                <w:color w:val="auto"/>
                <w:sz w:val="24"/>
                <w:szCs w:val="24"/>
                <w:highlight w:val="none"/>
              </w:rPr>
            </w:pPr>
          </w:p>
        </w:tc>
      </w:tr>
    </w:tbl>
    <w:p w14:paraId="57412AC4">
      <w:pPr>
        <w:rPr>
          <w:rFonts w:hint="eastAsia" w:ascii="宋体" w:hAnsi="宋体" w:eastAsia="宋体" w:cs="宋体"/>
          <w:color w:val="auto"/>
          <w:szCs w:val="21"/>
          <w:highlight w:val="none"/>
        </w:rPr>
      </w:pPr>
    </w:p>
    <w:p w14:paraId="099D896E">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磋商供应商全称（盖章）：</w:t>
      </w:r>
    </w:p>
    <w:p w14:paraId="360BAD3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法定代表人或者授权代表（签字或盖章）：                    </w:t>
      </w:r>
    </w:p>
    <w:p w14:paraId="279879D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5B99879A">
      <w:pPr>
        <w:rPr>
          <w:rFonts w:hint="eastAsia" w:ascii="宋体" w:hAnsi="宋体" w:eastAsia="宋体" w:cs="宋体"/>
          <w:color w:val="auto"/>
          <w:kern w:val="0"/>
          <w:szCs w:val="21"/>
          <w:highlight w:val="none"/>
        </w:rPr>
      </w:pPr>
    </w:p>
    <w:p w14:paraId="3B9A536D">
      <w:pPr>
        <w:rPr>
          <w:rFonts w:hint="eastAsia" w:ascii="宋体" w:hAnsi="宋体" w:eastAsia="宋体" w:cs="宋体"/>
          <w:color w:val="auto"/>
          <w:szCs w:val="21"/>
          <w:highlight w:val="none"/>
        </w:rPr>
      </w:pPr>
    </w:p>
    <w:p w14:paraId="4D93D79A">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注：供应商应按照采购文件中要求的</w:t>
      </w:r>
      <w:r>
        <w:rPr>
          <w:rFonts w:hint="eastAsia" w:ascii="宋体" w:hAnsi="宋体" w:eastAsia="宋体" w:cs="宋体"/>
          <w:bCs/>
          <w:color w:val="auto"/>
          <w:szCs w:val="21"/>
          <w:highlight w:val="none"/>
          <w:lang w:val="en-US" w:eastAsia="zh-CN"/>
        </w:rPr>
        <w:t>项目需求</w:t>
      </w:r>
      <w:r>
        <w:rPr>
          <w:rFonts w:hint="eastAsia" w:ascii="宋体" w:hAnsi="宋体" w:eastAsia="宋体" w:cs="宋体"/>
          <w:bCs/>
          <w:color w:val="auto"/>
          <w:szCs w:val="21"/>
          <w:highlight w:val="none"/>
        </w:rPr>
        <w:t>要求指标逐项、详细、真实的填写。行数不够可以添加，有具体参数的应填写详细参数，否则该响应文件可能被拒绝。</w:t>
      </w:r>
    </w:p>
    <w:p w14:paraId="747DFB00">
      <w:pPr>
        <w:spacing w:afterLines="100" w:line="360" w:lineRule="auto"/>
        <w:rPr>
          <w:rFonts w:hint="eastAsia" w:ascii="宋体" w:hAnsi="宋体" w:eastAsia="宋体" w:cs="宋体"/>
          <w:b/>
          <w:color w:val="auto"/>
          <w:szCs w:val="21"/>
          <w:highlight w:val="none"/>
        </w:rPr>
      </w:pPr>
    </w:p>
    <w:p w14:paraId="043962B9">
      <w:pPr>
        <w:spacing w:afterLines="100" w:line="360" w:lineRule="auto"/>
        <w:jc w:val="center"/>
        <w:rPr>
          <w:rFonts w:hint="eastAsia" w:ascii="宋体" w:hAnsi="宋体" w:eastAsia="宋体" w:cs="宋体"/>
          <w:b/>
          <w:color w:val="auto"/>
          <w:szCs w:val="21"/>
          <w:highlight w:val="none"/>
        </w:rPr>
      </w:pPr>
    </w:p>
    <w:p w14:paraId="51621902">
      <w:pPr>
        <w:spacing w:afterLines="100" w:line="360" w:lineRule="auto"/>
        <w:jc w:val="center"/>
        <w:rPr>
          <w:rFonts w:hint="eastAsia" w:ascii="宋体" w:hAnsi="宋体" w:eastAsia="宋体" w:cs="宋体"/>
          <w:b/>
          <w:color w:val="auto"/>
          <w:szCs w:val="21"/>
          <w:highlight w:val="none"/>
        </w:rPr>
      </w:pPr>
    </w:p>
    <w:p w14:paraId="7EEDB0AF">
      <w:pPr>
        <w:spacing w:afterLines="100" w:line="360" w:lineRule="auto"/>
        <w:jc w:val="both"/>
        <w:rPr>
          <w:rFonts w:hint="eastAsia" w:ascii="宋体" w:hAnsi="宋体" w:eastAsia="宋体" w:cs="宋体"/>
          <w:b/>
          <w:color w:val="auto"/>
          <w:szCs w:val="21"/>
          <w:highlight w:val="none"/>
        </w:rPr>
      </w:pPr>
    </w:p>
    <w:p w14:paraId="2AF22739">
      <w:pPr>
        <w:spacing w:afterLines="100"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五、商务条款响应及偏离表</w:t>
      </w:r>
    </w:p>
    <w:p w14:paraId="575A0F2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p w14:paraId="53AD51C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p>
    <w:tbl>
      <w:tblPr>
        <w:tblStyle w:val="33"/>
        <w:tblW w:w="96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63"/>
        <w:gridCol w:w="2085"/>
        <w:gridCol w:w="3046"/>
        <w:gridCol w:w="1123"/>
        <w:gridCol w:w="2622"/>
      </w:tblGrid>
      <w:tr w14:paraId="5B8080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763" w:type="dxa"/>
            <w:tcBorders>
              <w:top w:val="single" w:color="auto" w:sz="4" w:space="0"/>
              <w:bottom w:val="single" w:color="auto" w:sz="4" w:space="0"/>
              <w:right w:val="single" w:color="auto" w:sz="4" w:space="0"/>
            </w:tcBorders>
          </w:tcPr>
          <w:p w14:paraId="046C4150">
            <w:pPr>
              <w:adjustRightInd w:val="0"/>
              <w:snapToGrid w:val="0"/>
              <w:spacing w:beforeLines="50" w:after="200" w:line="22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085" w:type="dxa"/>
            <w:tcBorders>
              <w:top w:val="single" w:color="auto" w:sz="4" w:space="0"/>
              <w:left w:val="single" w:color="auto" w:sz="4" w:space="0"/>
              <w:bottom w:val="single" w:color="auto" w:sz="4" w:space="0"/>
              <w:right w:val="single" w:color="auto" w:sz="4" w:space="0"/>
            </w:tcBorders>
          </w:tcPr>
          <w:p w14:paraId="5CE45B4E">
            <w:pPr>
              <w:adjustRightInd w:val="0"/>
              <w:snapToGrid w:val="0"/>
              <w:spacing w:beforeLines="50" w:after="200" w:line="22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w:t>
            </w:r>
          </w:p>
        </w:tc>
        <w:tc>
          <w:tcPr>
            <w:tcW w:w="3046" w:type="dxa"/>
            <w:tcBorders>
              <w:top w:val="single" w:color="auto" w:sz="4" w:space="0"/>
              <w:left w:val="single" w:color="auto" w:sz="4" w:space="0"/>
              <w:bottom w:val="single" w:color="auto" w:sz="4" w:space="0"/>
              <w:right w:val="single" w:color="auto" w:sz="4" w:space="0"/>
            </w:tcBorders>
          </w:tcPr>
          <w:p w14:paraId="2BE38BE8">
            <w:pPr>
              <w:adjustRightInd w:val="0"/>
              <w:snapToGrid w:val="0"/>
              <w:spacing w:beforeLines="50" w:after="200" w:line="22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磋商要求</w:t>
            </w:r>
          </w:p>
        </w:tc>
        <w:tc>
          <w:tcPr>
            <w:tcW w:w="1123" w:type="dxa"/>
            <w:tcBorders>
              <w:top w:val="single" w:color="auto" w:sz="4" w:space="0"/>
              <w:left w:val="single" w:color="auto" w:sz="4" w:space="0"/>
              <w:bottom w:val="single" w:color="auto" w:sz="4" w:space="0"/>
              <w:right w:val="single" w:color="auto" w:sz="4" w:space="0"/>
            </w:tcBorders>
          </w:tcPr>
          <w:p w14:paraId="09C2F84D">
            <w:pPr>
              <w:adjustRightInd w:val="0"/>
              <w:snapToGrid w:val="0"/>
              <w:spacing w:beforeLines="50" w:after="200" w:line="22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是否响应</w:t>
            </w:r>
          </w:p>
        </w:tc>
        <w:tc>
          <w:tcPr>
            <w:tcW w:w="2622" w:type="dxa"/>
            <w:tcBorders>
              <w:top w:val="single" w:color="auto" w:sz="4" w:space="0"/>
              <w:left w:val="single" w:color="auto" w:sz="4" w:space="0"/>
              <w:bottom w:val="single" w:color="auto" w:sz="4" w:space="0"/>
            </w:tcBorders>
          </w:tcPr>
          <w:p w14:paraId="366A3CE3">
            <w:pPr>
              <w:adjustRightInd w:val="0"/>
              <w:snapToGrid w:val="0"/>
              <w:spacing w:beforeLines="50" w:after="200" w:line="22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投标人的承诺或说明</w:t>
            </w:r>
          </w:p>
        </w:tc>
      </w:tr>
      <w:tr w14:paraId="58C5C2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63" w:type="dxa"/>
            <w:tcBorders>
              <w:top w:val="single" w:color="auto" w:sz="4" w:space="0"/>
              <w:bottom w:val="single" w:color="auto" w:sz="4" w:space="0"/>
              <w:right w:val="single" w:color="auto" w:sz="4" w:space="0"/>
            </w:tcBorders>
          </w:tcPr>
          <w:p w14:paraId="3F38E1B7">
            <w:pPr>
              <w:adjustRightInd w:val="0"/>
              <w:snapToGrid w:val="0"/>
              <w:spacing w:beforeLines="50" w:after="200" w:line="220" w:lineRule="atLeast"/>
              <w:jc w:val="right"/>
              <w:rPr>
                <w:rFonts w:hint="eastAsia" w:ascii="宋体" w:hAnsi="宋体" w:eastAsia="宋体" w:cs="宋体"/>
                <w:color w:val="auto"/>
                <w:szCs w:val="21"/>
                <w:highlight w:val="none"/>
              </w:rPr>
            </w:pPr>
          </w:p>
        </w:tc>
        <w:tc>
          <w:tcPr>
            <w:tcW w:w="2085" w:type="dxa"/>
            <w:tcBorders>
              <w:top w:val="single" w:color="auto" w:sz="4" w:space="0"/>
              <w:left w:val="single" w:color="auto" w:sz="4" w:space="0"/>
              <w:bottom w:val="single" w:color="auto" w:sz="4" w:space="0"/>
              <w:right w:val="single" w:color="auto" w:sz="4" w:space="0"/>
            </w:tcBorders>
          </w:tcPr>
          <w:p w14:paraId="721B04E7">
            <w:pPr>
              <w:adjustRightInd w:val="0"/>
              <w:snapToGrid w:val="0"/>
              <w:spacing w:beforeLines="50" w:after="200" w:line="22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服务要求</w:t>
            </w:r>
          </w:p>
        </w:tc>
        <w:tc>
          <w:tcPr>
            <w:tcW w:w="3046" w:type="dxa"/>
            <w:tcBorders>
              <w:top w:val="single" w:color="auto" w:sz="4" w:space="0"/>
              <w:left w:val="single" w:color="auto" w:sz="4" w:space="0"/>
              <w:bottom w:val="single" w:color="auto" w:sz="4" w:space="0"/>
              <w:right w:val="single" w:color="auto" w:sz="4" w:space="0"/>
            </w:tcBorders>
          </w:tcPr>
          <w:p w14:paraId="6DAE38F4">
            <w:pPr>
              <w:adjustRightInd w:val="0"/>
              <w:snapToGrid w:val="0"/>
              <w:spacing w:beforeLines="50" w:after="200" w:line="220" w:lineRule="atLeast"/>
              <w:rPr>
                <w:rFonts w:hint="eastAsia" w:ascii="宋体" w:hAnsi="宋体" w:eastAsia="宋体" w:cs="宋体"/>
                <w:color w:val="auto"/>
                <w:szCs w:val="21"/>
                <w:highlight w:val="none"/>
              </w:rPr>
            </w:pPr>
          </w:p>
        </w:tc>
        <w:tc>
          <w:tcPr>
            <w:tcW w:w="1123" w:type="dxa"/>
            <w:tcBorders>
              <w:top w:val="single" w:color="auto" w:sz="4" w:space="0"/>
              <w:left w:val="single" w:color="auto" w:sz="4" w:space="0"/>
              <w:bottom w:val="single" w:color="auto" w:sz="4" w:space="0"/>
              <w:right w:val="single" w:color="auto" w:sz="4" w:space="0"/>
            </w:tcBorders>
          </w:tcPr>
          <w:p w14:paraId="4ED8F2E1">
            <w:pPr>
              <w:adjustRightInd w:val="0"/>
              <w:snapToGrid w:val="0"/>
              <w:spacing w:beforeLines="50" w:after="200" w:line="220" w:lineRule="atLeast"/>
              <w:rPr>
                <w:rFonts w:hint="eastAsia" w:ascii="宋体" w:hAnsi="宋体" w:eastAsia="宋体" w:cs="宋体"/>
                <w:color w:val="auto"/>
                <w:szCs w:val="21"/>
                <w:highlight w:val="none"/>
              </w:rPr>
            </w:pPr>
          </w:p>
        </w:tc>
        <w:tc>
          <w:tcPr>
            <w:tcW w:w="2622" w:type="dxa"/>
            <w:tcBorders>
              <w:top w:val="single" w:color="auto" w:sz="4" w:space="0"/>
              <w:left w:val="single" w:color="auto" w:sz="4" w:space="0"/>
              <w:bottom w:val="single" w:color="auto" w:sz="4" w:space="0"/>
            </w:tcBorders>
          </w:tcPr>
          <w:p w14:paraId="522AC438">
            <w:pPr>
              <w:adjustRightInd w:val="0"/>
              <w:snapToGrid w:val="0"/>
              <w:spacing w:beforeLines="50" w:after="200" w:line="220" w:lineRule="atLeast"/>
              <w:rPr>
                <w:rFonts w:hint="eastAsia" w:ascii="宋体" w:hAnsi="宋体" w:eastAsia="宋体" w:cs="宋体"/>
                <w:color w:val="auto"/>
                <w:szCs w:val="21"/>
                <w:highlight w:val="none"/>
              </w:rPr>
            </w:pPr>
          </w:p>
        </w:tc>
      </w:tr>
      <w:tr w14:paraId="3CEA02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63" w:type="dxa"/>
            <w:tcBorders>
              <w:top w:val="single" w:color="auto" w:sz="4" w:space="0"/>
              <w:bottom w:val="single" w:color="auto" w:sz="4" w:space="0"/>
              <w:right w:val="single" w:color="auto" w:sz="4" w:space="0"/>
            </w:tcBorders>
          </w:tcPr>
          <w:p w14:paraId="59453A6A">
            <w:pPr>
              <w:adjustRightInd w:val="0"/>
              <w:snapToGrid w:val="0"/>
              <w:spacing w:beforeLines="50" w:after="200" w:line="220" w:lineRule="atLeast"/>
              <w:jc w:val="right"/>
              <w:rPr>
                <w:rFonts w:hint="eastAsia" w:ascii="宋体" w:hAnsi="宋体" w:eastAsia="宋体" w:cs="宋体"/>
                <w:color w:val="auto"/>
                <w:szCs w:val="21"/>
                <w:highlight w:val="none"/>
              </w:rPr>
            </w:pPr>
          </w:p>
        </w:tc>
        <w:tc>
          <w:tcPr>
            <w:tcW w:w="2085" w:type="dxa"/>
            <w:tcBorders>
              <w:top w:val="single" w:color="auto" w:sz="4" w:space="0"/>
              <w:left w:val="single" w:color="auto" w:sz="4" w:space="0"/>
              <w:bottom w:val="single" w:color="auto" w:sz="4" w:space="0"/>
              <w:right w:val="single" w:color="auto" w:sz="4" w:space="0"/>
            </w:tcBorders>
          </w:tcPr>
          <w:p w14:paraId="78BB8D1D">
            <w:pPr>
              <w:adjustRightInd w:val="0"/>
              <w:snapToGrid w:val="0"/>
              <w:spacing w:beforeLines="50" w:after="200" w:line="22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交付时间</w:t>
            </w:r>
          </w:p>
        </w:tc>
        <w:tc>
          <w:tcPr>
            <w:tcW w:w="3046" w:type="dxa"/>
            <w:tcBorders>
              <w:top w:val="single" w:color="auto" w:sz="4" w:space="0"/>
              <w:left w:val="single" w:color="auto" w:sz="4" w:space="0"/>
              <w:bottom w:val="single" w:color="auto" w:sz="4" w:space="0"/>
              <w:right w:val="single" w:color="auto" w:sz="4" w:space="0"/>
            </w:tcBorders>
          </w:tcPr>
          <w:p w14:paraId="2E97FF49">
            <w:pPr>
              <w:adjustRightInd w:val="0"/>
              <w:snapToGrid w:val="0"/>
              <w:spacing w:beforeLines="50" w:after="200" w:line="220" w:lineRule="atLeast"/>
              <w:rPr>
                <w:rFonts w:hint="eastAsia" w:ascii="宋体" w:hAnsi="宋体" w:eastAsia="宋体" w:cs="宋体"/>
                <w:color w:val="auto"/>
                <w:szCs w:val="21"/>
                <w:highlight w:val="none"/>
              </w:rPr>
            </w:pPr>
          </w:p>
        </w:tc>
        <w:tc>
          <w:tcPr>
            <w:tcW w:w="1123" w:type="dxa"/>
            <w:tcBorders>
              <w:top w:val="single" w:color="auto" w:sz="4" w:space="0"/>
              <w:left w:val="single" w:color="auto" w:sz="4" w:space="0"/>
              <w:bottom w:val="single" w:color="auto" w:sz="4" w:space="0"/>
              <w:right w:val="single" w:color="auto" w:sz="4" w:space="0"/>
            </w:tcBorders>
          </w:tcPr>
          <w:p w14:paraId="277EB16D">
            <w:pPr>
              <w:adjustRightInd w:val="0"/>
              <w:snapToGrid w:val="0"/>
              <w:spacing w:beforeLines="50" w:after="200" w:line="220" w:lineRule="atLeast"/>
              <w:ind w:left="43"/>
              <w:rPr>
                <w:rFonts w:hint="eastAsia" w:ascii="宋体" w:hAnsi="宋体" w:eastAsia="宋体" w:cs="宋体"/>
                <w:color w:val="auto"/>
                <w:szCs w:val="21"/>
                <w:highlight w:val="none"/>
              </w:rPr>
            </w:pPr>
          </w:p>
        </w:tc>
        <w:tc>
          <w:tcPr>
            <w:tcW w:w="2622" w:type="dxa"/>
            <w:tcBorders>
              <w:top w:val="single" w:color="auto" w:sz="4" w:space="0"/>
              <w:left w:val="single" w:color="auto" w:sz="4" w:space="0"/>
              <w:bottom w:val="single" w:color="auto" w:sz="4" w:space="0"/>
            </w:tcBorders>
          </w:tcPr>
          <w:p w14:paraId="6FC5128D">
            <w:pPr>
              <w:adjustRightInd w:val="0"/>
              <w:snapToGrid w:val="0"/>
              <w:spacing w:beforeLines="50" w:after="200" w:line="220" w:lineRule="atLeast"/>
              <w:ind w:left="43"/>
              <w:rPr>
                <w:rFonts w:hint="eastAsia" w:ascii="宋体" w:hAnsi="宋体" w:eastAsia="宋体" w:cs="宋体"/>
                <w:color w:val="auto"/>
                <w:szCs w:val="21"/>
                <w:highlight w:val="none"/>
              </w:rPr>
            </w:pPr>
          </w:p>
        </w:tc>
      </w:tr>
      <w:tr w14:paraId="6DE42C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9" w:hRule="exact"/>
          <w:jc w:val="center"/>
        </w:trPr>
        <w:tc>
          <w:tcPr>
            <w:tcW w:w="763" w:type="dxa"/>
            <w:tcBorders>
              <w:top w:val="single" w:color="auto" w:sz="4" w:space="0"/>
              <w:bottom w:val="single" w:color="auto" w:sz="4" w:space="0"/>
              <w:right w:val="single" w:color="auto" w:sz="4" w:space="0"/>
            </w:tcBorders>
          </w:tcPr>
          <w:p w14:paraId="53A165FA">
            <w:pPr>
              <w:adjustRightInd w:val="0"/>
              <w:snapToGrid w:val="0"/>
              <w:spacing w:beforeLines="50" w:after="200" w:line="220" w:lineRule="atLeast"/>
              <w:jc w:val="right"/>
              <w:rPr>
                <w:rFonts w:hint="eastAsia" w:ascii="宋体" w:hAnsi="宋体" w:eastAsia="宋体" w:cs="宋体"/>
                <w:color w:val="auto"/>
                <w:szCs w:val="21"/>
                <w:highlight w:val="none"/>
              </w:rPr>
            </w:pPr>
          </w:p>
        </w:tc>
        <w:tc>
          <w:tcPr>
            <w:tcW w:w="2085" w:type="dxa"/>
            <w:tcBorders>
              <w:top w:val="single" w:color="auto" w:sz="4" w:space="0"/>
              <w:left w:val="single" w:color="auto" w:sz="4" w:space="0"/>
              <w:bottom w:val="single" w:color="auto" w:sz="4" w:space="0"/>
              <w:right w:val="single" w:color="auto" w:sz="4" w:space="0"/>
            </w:tcBorders>
          </w:tcPr>
          <w:p w14:paraId="57A072BC">
            <w:pPr>
              <w:adjustRightInd w:val="0"/>
              <w:snapToGrid w:val="0"/>
              <w:spacing w:beforeLines="50" w:after="200" w:line="22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交付方式</w:t>
            </w:r>
          </w:p>
        </w:tc>
        <w:tc>
          <w:tcPr>
            <w:tcW w:w="3046" w:type="dxa"/>
            <w:tcBorders>
              <w:top w:val="single" w:color="auto" w:sz="4" w:space="0"/>
              <w:left w:val="single" w:color="auto" w:sz="4" w:space="0"/>
              <w:bottom w:val="single" w:color="auto" w:sz="4" w:space="0"/>
              <w:right w:val="single" w:color="auto" w:sz="4" w:space="0"/>
            </w:tcBorders>
          </w:tcPr>
          <w:p w14:paraId="3E56CB4B">
            <w:pPr>
              <w:spacing w:beforeLines="50" w:line="220" w:lineRule="atLeast"/>
              <w:rPr>
                <w:rFonts w:hint="eastAsia" w:ascii="宋体" w:hAnsi="宋体" w:eastAsia="宋体" w:cs="宋体"/>
                <w:color w:val="auto"/>
                <w:szCs w:val="21"/>
                <w:highlight w:val="none"/>
              </w:rPr>
            </w:pPr>
          </w:p>
          <w:p w14:paraId="325E7C76">
            <w:pPr>
              <w:adjustRightInd w:val="0"/>
              <w:snapToGrid w:val="0"/>
              <w:spacing w:beforeLines="50" w:after="200" w:line="220" w:lineRule="atLeast"/>
              <w:rPr>
                <w:rFonts w:hint="eastAsia" w:ascii="宋体" w:hAnsi="宋体" w:eastAsia="宋体" w:cs="宋体"/>
                <w:color w:val="auto"/>
                <w:szCs w:val="21"/>
                <w:highlight w:val="none"/>
              </w:rPr>
            </w:pPr>
          </w:p>
        </w:tc>
        <w:tc>
          <w:tcPr>
            <w:tcW w:w="1123" w:type="dxa"/>
            <w:tcBorders>
              <w:top w:val="single" w:color="auto" w:sz="4" w:space="0"/>
              <w:left w:val="single" w:color="auto" w:sz="4" w:space="0"/>
              <w:bottom w:val="single" w:color="auto" w:sz="4" w:space="0"/>
              <w:right w:val="single" w:color="auto" w:sz="4" w:space="0"/>
            </w:tcBorders>
          </w:tcPr>
          <w:p w14:paraId="7D07EDE2">
            <w:pPr>
              <w:adjustRightInd w:val="0"/>
              <w:snapToGrid w:val="0"/>
              <w:spacing w:beforeLines="50" w:after="200" w:line="220" w:lineRule="atLeast"/>
              <w:ind w:left="43"/>
              <w:rPr>
                <w:rFonts w:hint="eastAsia" w:ascii="宋体" w:hAnsi="宋体" w:eastAsia="宋体" w:cs="宋体"/>
                <w:color w:val="auto"/>
                <w:szCs w:val="21"/>
                <w:highlight w:val="none"/>
              </w:rPr>
            </w:pPr>
          </w:p>
        </w:tc>
        <w:tc>
          <w:tcPr>
            <w:tcW w:w="2622" w:type="dxa"/>
            <w:tcBorders>
              <w:top w:val="single" w:color="auto" w:sz="4" w:space="0"/>
              <w:left w:val="single" w:color="auto" w:sz="4" w:space="0"/>
              <w:bottom w:val="single" w:color="auto" w:sz="4" w:space="0"/>
            </w:tcBorders>
          </w:tcPr>
          <w:p w14:paraId="1D9D1DA9">
            <w:pPr>
              <w:adjustRightInd w:val="0"/>
              <w:snapToGrid w:val="0"/>
              <w:spacing w:beforeLines="50" w:after="200" w:line="220" w:lineRule="atLeast"/>
              <w:ind w:left="43"/>
              <w:rPr>
                <w:rFonts w:hint="eastAsia" w:ascii="宋体" w:hAnsi="宋体" w:eastAsia="宋体" w:cs="宋体"/>
                <w:color w:val="auto"/>
                <w:szCs w:val="21"/>
                <w:highlight w:val="none"/>
              </w:rPr>
            </w:pPr>
          </w:p>
        </w:tc>
      </w:tr>
      <w:tr w14:paraId="1A9DC0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63" w:type="dxa"/>
            <w:tcBorders>
              <w:top w:val="single" w:color="auto" w:sz="4" w:space="0"/>
              <w:bottom w:val="single" w:color="auto" w:sz="4" w:space="0"/>
              <w:right w:val="single" w:color="auto" w:sz="4" w:space="0"/>
            </w:tcBorders>
          </w:tcPr>
          <w:p w14:paraId="4A85ED45">
            <w:pPr>
              <w:adjustRightInd w:val="0"/>
              <w:snapToGrid w:val="0"/>
              <w:spacing w:beforeLines="50" w:after="200" w:line="220" w:lineRule="atLeast"/>
              <w:jc w:val="right"/>
              <w:rPr>
                <w:rFonts w:hint="eastAsia" w:ascii="宋体" w:hAnsi="宋体" w:eastAsia="宋体" w:cs="宋体"/>
                <w:color w:val="auto"/>
                <w:szCs w:val="21"/>
                <w:highlight w:val="none"/>
              </w:rPr>
            </w:pPr>
          </w:p>
        </w:tc>
        <w:tc>
          <w:tcPr>
            <w:tcW w:w="2085" w:type="dxa"/>
            <w:tcBorders>
              <w:top w:val="single" w:color="auto" w:sz="4" w:space="0"/>
              <w:left w:val="single" w:color="auto" w:sz="4" w:space="0"/>
              <w:bottom w:val="single" w:color="auto" w:sz="4" w:space="0"/>
              <w:right w:val="single" w:color="auto" w:sz="4" w:space="0"/>
            </w:tcBorders>
          </w:tcPr>
          <w:p w14:paraId="180AB6F3">
            <w:pPr>
              <w:adjustRightInd w:val="0"/>
              <w:snapToGrid w:val="0"/>
              <w:spacing w:beforeLines="50" w:after="200" w:line="22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交付地点</w:t>
            </w:r>
          </w:p>
        </w:tc>
        <w:tc>
          <w:tcPr>
            <w:tcW w:w="3046" w:type="dxa"/>
            <w:tcBorders>
              <w:top w:val="single" w:color="auto" w:sz="4" w:space="0"/>
              <w:left w:val="single" w:color="auto" w:sz="4" w:space="0"/>
              <w:bottom w:val="single" w:color="auto" w:sz="4" w:space="0"/>
              <w:right w:val="single" w:color="auto" w:sz="4" w:space="0"/>
            </w:tcBorders>
          </w:tcPr>
          <w:p w14:paraId="00D9AFE2">
            <w:pPr>
              <w:spacing w:beforeLines="50" w:line="220" w:lineRule="atLeast"/>
              <w:rPr>
                <w:rFonts w:hint="eastAsia" w:ascii="宋体" w:hAnsi="宋体" w:eastAsia="宋体" w:cs="宋体"/>
                <w:color w:val="auto"/>
                <w:szCs w:val="21"/>
                <w:highlight w:val="none"/>
              </w:rPr>
            </w:pPr>
          </w:p>
          <w:p w14:paraId="439DB9B8">
            <w:pPr>
              <w:adjustRightInd w:val="0"/>
              <w:snapToGrid w:val="0"/>
              <w:spacing w:beforeLines="50" w:after="200" w:line="220" w:lineRule="atLeast"/>
              <w:rPr>
                <w:rFonts w:hint="eastAsia" w:ascii="宋体" w:hAnsi="宋体" w:eastAsia="宋体" w:cs="宋体"/>
                <w:color w:val="auto"/>
                <w:szCs w:val="21"/>
                <w:highlight w:val="none"/>
              </w:rPr>
            </w:pPr>
          </w:p>
        </w:tc>
        <w:tc>
          <w:tcPr>
            <w:tcW w:w="1123" w:type="dxa"/>
            <w:tcBorders>
              <w:top w:val="single" w:color="auto" w:sz="4" w:space="0"/>
              <w:left w:val="single" w:color="auto" w:sz="4" w:space="0"/>
              <w:bottom w:val="single" w:color="auto" w:sz="4" w:space="0"/>
              <w:right w:val="single" w:color="auto" w:sz="4" w:space="0"/>
            </w:tcBorders>
          </w:tcPr>
          <w:p w14:paraId="2FA20A07">
            <w:pPr>
              <w:adjustRightInd w:val="0"/>
              <w:snapToGrid w:val="0"/>
              <w:spacing w:beforeLines="50" w:after="200" w:line="220" w:lineRule="atLeast"/>
              <w:ind w:left="43"/>
              <w:rPr>
                <w:rFonts w:hint="eastAsia" w:ascii="宋体" w:hAnsi="宋体" w:eastAsia="宋体" w:cs="宋体"/>
                <w:color w:val="auto"/>
                <w:szCs w:val="21"/>
                <w:highlight w:val="none"/>
              </w:rPr>
            </w:pPr>
          </w:p>
        </w:tc>
        <w:tc>
          <w:tcPr>
            <w:tcW w:w="2622" w:type="dxa"/>
            <w:tcBorders>
              <w:top w:val="single" w:color="auto" w:sz="4" w:space="0"/>
              <w:left w:val="single" w:color="auto" w:sz="4" w:space="0"/>
              <w:bottom w:val="single" w:color="auto" w:sz="4" w:space="0"/>
            </w:tcBorders>
          </w:tcPr>
          <w:p w14:paraId="25B0BB98">
            <w:pPr>
              <w:adjustRightInd w:val="0"/>
              <w:snapToGrid w:val="0"/>
              <w:spacing w:beforeLines="50" w:after="200" w:line="220" w:lineRule="atLeast"/>
              <w:ind w:left="43"/>
              <w:rPr>
                <w:rFonts w:hint="eastAsia" w:ascii="宋体" w:hAnsi="宋体" w:eastAsia="宋体" w:cs="宋体"/>
                <w:color w:val="auto"/>
                <w:szCs w:val="21"/>
                <w:highlight w:val="none"/>
              </w:rPr>
            </w:pPr>
          </w:p>
        </w:tc>
      </w:tr>
      <w:tr w14:paraId="7C76B1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63" w:type="dxa"/>
            <w:tcBorders>
              <w:top w:val="single" w:color="auto" w:sz="4" w:space="0"/>
              <w:bottom w:val="single" w:color="auto" w:sz="4" w:space="0"/>
              <w:right w:val="single" w:color="auto" w:sz="4" w:space="0"/>
            </w:tcBorders>
          </w:tcPr>
          <w:p w14:paraId="4D546E3F">
            <w:pPr>
              <w:adjustRightInd w:val="0"/>
              <w:snapToGrid w:val="0"/>
              <w:spacing w:beforeLines="50" w:after="200" w:line="220" w:lineRule="atLeast"/>
              <w:jc w:val="right"/>
              <w:rPr>
                <w:rFonts w:hint="eastAsia" w:ascii="宋体" w:hAnsi="宋体" w:eastAsia="宋体" w:cs="宋体"/>
                <w:color w:val="auto"/>
                <w:szCs w:val="21"/>
                <w:highlight w:val="none"/>
              </w:rPr>
            </w:pPr>
          </w:p>
        </w:tc>
        <w:tc>
          <w:tcPr>
            <w:tcW w:w="2085" w:type="dxa"/>
            <w:tcBorders>
              <w:top w:val="single" w:color="auto" w:sz="4" w:space="0"/>
              <w:left w:val="single" w:color="auto" w:sz="4" w:space="0"/>
              <w:bottom w:val="single" w:color="auto" w:sz="4" w:space="0"/>
              <w:right w:val="single" w:color="auto" w:sz="4" w:space="0"/>
            </w:tcBorders>
          </w:tcPr>
          <w:p w14:paraId="5C29FD03">
            <w:pPr>
              <w:adjustRightInd w:val="0"/>
              <w:snapToGrid w:val="0"/>
              <w:spacing w:beforeLines="50" w:after="200" w:line="22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付款方式</w:t>
            </w:r>
          </w:p>
        </w:tc>
        <w:tc>
          <w:tcPr>
            <w:tcW w:w="3046" w:type="dxa"/>
            <w:tcBorders>
              <w:top w:val="single" w:color="auto" w:sz="4" w:space="0"/>
              <w:left w:val="single" w:color="auto" w:sz="4" w:space="0"/>
              <w:bottom w:val="single" w:color="auto" w:sz="4" w:space="0"/>
              <w:right w:val="single" w:color="auto" w:sz="4" w:space="0"/>
            </w:tcBorders>
          </w:tcPr>
          <w:p w14:paraId="26EAADBD">
            <w:pPr>
              <w:adjustRightInd w:val="0"/>
              <w:snapToGrid w:val="0"/>
              <w:spacing w:beforeLines="50" w:after="200" w:line="220" w:lineRule="atLeast"/>
              <w:rPr>
                <w:rFonts w:hint="eastAsia" w:ascii="宋体" w:hAnsi="宋体" w:eastAsia="宋体" w:cs="宋体"/>
                <w:color w:val="auto"/>
                <w:sz w:val="24"/>
                <w:szCs w:val="20"/>
                <w:highlight w:val="none"/>
              </w:rPr>
            </w:pPr>
          </w:p>
        </w:tc>
        <w:tc>
          <w:tcPr>
            <w:tcW w:w="1123" w:type="dxa"/>
            <w:tcBorders>
              <w:top w:val="single" w:color="auto" w:sz="4" w:space="0"/>
              <w:left w:val="single" w:color="auto" w:sz="4" w:space="0"/>
              <w:bottom w:val="single" w:color="auto" w:sz="4" w:space="0"/>
              <w:right w:val="single" w:color="auto" w:sz="4" w:space="0"/>
            </w:tcBorders>
          </w:tcPr>
          <w:p w14:paraId="3248D4B3">
            <w:pPr>
              <w:adjustRightInd w:val="0"/>
              <w:snapToGrid w:val="0"/>
              <w:spacing w:beforeLines="50" w:after="200" w:line="220" w:lineRule="atLeast"/>
              <w:rPr>
                <w:rFonts w:hint="eastAsia" w:ascii="宋体" w:hAnsi="宋体" w:eastAsia="宋体" w:cs="宋体"/>
                <w:color w:val="auto"/>
                <w:sz w:val="24"/>
                <w:szCs w:val="20"/>
                <w:highlight w:val="none"/>
              </w:rPr>
            </w:pPr>
          </w:p>
        </w:tc>
        <w:tc>
          <w:tcPr>
            <w:tcW w:w="2622" w:type="dxa"/>
            <w:tcBorders>
              <w:top w:val="single" w:color="auto" w:sz="4" w:space="0"/>
              <w:left w:val="single" w:color="auto" w:sz="4" w:space="0"/>
              <w:bottom w:val="single" w:color="auto" w:sz="4" w:space="0"/>
            </w:tcBorders>
          </w:tcPr>
          <w:p w14:paraId="38DFAC51">
            <w:pPr>
              <w:adjustRightInd w:val="0"/>
              <w:snapToGrid w:val="0"/>
              <w:spacing w:beforeLines="50" w:after="200" w:line="220" w:lineRule="atLeast"/>
              <w:rPr>
                <w:rFonts w:hint="eastAsia" w:ascii="宋体" w:hAnsi="宋体" w:eastAsia="宋体" w:cs="宋体"/>
                <w:color w:val="auto"/>
                <w:sz w:val="24"/>
                <w:szCs w:val="20"/>
                <w:highlight w:val="none"/>
              </w:rPr>
            </w:pPr>
          </w:p>
        </w:tc>
      </w:tr>
      <w:tr w14:paraId="485ED5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63" w:type="dxa"/>
            <w:tcBorders>
              <w:top w:val="single" w:color="auto" w:sz="4" w:space="0"/>
              <w:bottom w:val="single" w:color="auto" w:sz="4" w:space="0"/>
              <w:right w:val="single" w:color="auto" w:sz="4" w:space="0"/>
            </w:tcBorders>
          </w:tcPr>
          <w:p w14:paraId="15742AAD">
            <w:pPr>
              <w:adjustRightInd w:val="0"/>
              <w:snapToGrid w:val="0"/>
              <w:spacing w:beforeLines="50" w:after="200" w:line="220" w:lineRule="atLeast"/>
              <w:jc w:val="right"/>
              <w:rPr>
                <w:rFonts w:hint="eastAsia" w:ascii="宋体" w:hAnsi="宋体" w:eastAsia="宋体" w:cs="宋体"/>
                <w:color w:val="auto"/>
                <w:szCs w:val="21"/>
                <w:highlight w:val="none"/>
              </w:rPr>
            </w:pPr>
          </w:p>
        </w:tc>
        <w:tc>
          <w:tcPr>
            <w:tcW w:w="2085" w:type="dxa"/>
            <w:tcBorders>
              <w:top w:val="single" w:color="auto" w:sz="4" w:space="0"/>
              <w:left w:val="single" w:color="auto" w:sz="4" w:space="0"/>
              <w:bottom w:val="single" w:color="auto" w:sz="4" w:space="0"/>
              <w:right w:val="single" w:color="auto" w:sz="4" w:space="0"/>
            </w:tcBorders>
          </w:tcPr>
          <w:p w14:paraId="29DA0379">
            <w:pPr>
              <w:adjustRightInd w:val="0"/>
              <w:snapToGrid w:val="0"/>
              <w:spacing w:beforeLines="50" w:after="200" w:line="22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投标货币</w:t>
            </w:r>
          </w:p>
        </w:tc>
        <w:tc>
          <w:tcPr>
            <w:tcW w:w="3046" w:type="dxa"/>
            <w:tcBorders>
              <w:top w:val="single" w:color="auto" w:sz="4" w:space="0"/>
              <w:left w:val="single" w:color="auto" w:sz="4" w:space="0"/>
              <w:bottom w:val="single" w:color="auto" w:sz="4" w:space="0"/>
              <w:right w:val="single" w:color="auto" w:sz="4" w:space="0"/>
            </w:tcBorders>
          </w:tcPr>
          <w:p w14:paraId="50E8FBE9">
            <w:pPr>
              <w:spacing w:beforeLines="50" w:line="220" w:lineRule="atLeast"/>
              <w:rPr>
                <w:rFonts w:hint="eastAsia" w:ascii="宋体" w:hAnsi="宋体" w:eastAsia="宋体" w:cs="宋体"/>
                <w:color w:val="auto"/>
                <w:sz w:val="24"/>
                <w:szCs w:val="20"/>
                <w:highlight w:val="none"/>
              </w:rPr>
            </w:pPr>
          </w:p>
          <w:p w14:paraId="0C8E9CDF">
            <w:pPr>
              <w:adjustRightInd w:val="0"/>
              <w:snapToGrid w:val="0"/>
              <w:spacing w:beforeLines="50" w:after="200" w:line="220" w:lineRule="atLeast"/>
              <w:rPr>
                <w:rFonts w:hint="eastAsia" w:ascii="宋体" w:hAnsi="宋体" w:eastAsia="宋体" w:cs="宋体"/>
                <w:color w:val="auto"/>
                <w:sz w:val="24"/>
                <w:szCs w:val="20"/>
                <w:highlight w:val="none"/>
              </w:rPr>
            </w:pPr>
          </w:p>
        </w:tc>
        <w:tc>
          <w:tcPr>
            <w:tcW w:w="1123" w:type="dxa"/>
            <w:tcBorders>
              <w:top w:val="single" w:color="auto" w:sz="4" w:space="0"/>
              <w:left w:val="single" w:color="auto" w:sz="4" w:space="0"/>
              <w:bottom w:val="single" w:color="auto" w:sz="4" w:space="0"/>
              <w:right w:val="single" w:color="auto" w:sz="4" w:space="0"/>
            </w:tcBorders>
          </w:tcPr>
          <w:p w14:paraId="42F6574C">
            <w:pPr>
              <w:adjustRightInd w:val="0"/>
              <w:snapToGrid w:val="0"/>
              <w:spacing w:beforeLines="50" w:after="200" w:line="220" w:lineRule="atLeast"/>
              <w:rPr>
                <w:rFonts w:hint="eastAsia" w:ascii="宋体" w:hAnsi="宋体" w:eastAsia="宋体" w:cs="宋体"/>
                <w:color w:val="auto"/>
                <w:sz w:val="24"/>
                <w:szCs w:val="20"/>
                <w:highlight w:val="none"/>
              </w:rPr>
            </w:pPr>
          </w:p>
        </w:tc>
        <w:tc>
          <w:tcPr>
            <w:tcW w:w="2622" w:type="dxa"/>
            <w:tcBorders>
              <w:top w:val="single" w:color="auto" w:sz="4" w:space="0"/>
              <w:left w:val="single" w:color="auto" w:sz="4" w:space="0"/>
              <w:bottom w:val="single" w:color="auto" w:sz="4" w:space="0"/>
            </w:tcBorders>
          </w:tcPr>
          <w:p w14:paraId="4C53D8EB">
            <w:pPr>
              <w:adjustRightInd w:val="0"/>
              <w:snapToGrid w:val="0"/>
              <w:spacing w:beforeLines="50" w:after="200" w:line="220" w:lineRule="atLeast"/>
              <w:rPr>
                <w:rFonts w:hint="eastAsia" w:ascii="宋体" w:hAnsi="宋体" w:eastAsia="宋体" w:cs="宋体"/>
                <w:color w:val="auto"/>
                <w:sz w:val="24"/>
                <w:szCs w:val="20"/>
                <w:highlight w:val="none"/>
              </w:rPr>
            </w:pPr>
          </w:p>
        </w:tc>
      </w:tr>
      <w:tr w14:paraId="469474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63" w:type="dxa"/>
            <w:tcBorders>
              <w:top w:val="single" w:color="auto" w:sz="4" w:space="0"/>
              <w:bottom w:val="single" w:color="auto" w:sz="4" w:space="0"/>
              <w:right w:val="single" w:color="auto" w:sz="4" w:space="0"/>
            </w:tcBorders>
          </w:tcPr>
          <w:p w14:paraId="241C5FD6">
            <w:pPr>
              <w:adjustRightInd w:val="0"/>
              <w:snapToGrid w:val="0"/>
              <w:spacing w:beforeLines="50" w:after="200" w:line="220" w:lineRule="atLeast"/>
              <w:jc w:val="right"/>
              <w:rPr>
                <w:rFonts w:hint="eastAsia" w:ascii="宋体" w:hAnsi="宋体" w:eastAsia="宋体" w:cs="宋体"/>
                <w:color w:val="auto"/>
                <w:szCs w:val="21"/>
                <w:highlight w:val="none"/>
              </w:rPr>
            </w:pPr>
          </w:p>
        </w:tc>
        <w:tc>
          <w:tcPr>
            <w:tcW w:w="2085" w:type="dxa"/>
            <w:tcBorders>
              <w:top w:val="single" w:color="auto" w:sz="4" w:space="0"/>
              <w:left w:val="single" w:color="auto" w:sz="4" w:space="0"/>
              <w:bottom w:val="single" w:color="auto" w:sz="4" w:space="0"/>
              <w:right w:val="single" w:color="auto" w:sz="4" w:space="0"/>
            </w:tcBorders>
          </w:tcPr>
          <w:p w14:paraId="6AEFAD8C">
            <w:pPr>
              <w:adjustRightInd w:val="0"/>
              <w:snapToGrid w:val="0"/>
              <w:spacing w:beforeLines="50" w:after="200" w:line="22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3046" w:type="dxa"/>
            <w:tcBorders>
              <w:top w:val="single" w:color="auto" w:sz="4" w:space="0"/>
              <w:left w:val="single" w:color="auto" w:sz="4" w:space="0"/>
              <w:bottom w:val="single" w:color="auto" w:sz="4" w:space="0"/>
              <w:right w:val="single" w:color="auto" w:sz="4" w:space="0"/>
            </w:tcBorders>
          </w:tcPr>
          <w:p w14:paraId="2B2AA3DC">
            <w:pPr>
              <w:adjustRightInd w:val="0"/>
              <w:snapToGrid w:val="0"/>
              <w:spacing w:beforeLines="50" w:after="200" w:line="220" w:lineRule="atLeast"/>
              <w:rPr>
                <w:rFonts w:hint="eastAsia" w:ascii="宋体" w:hAnsi="宋体" w:eastAsia="宋体" w:cs="宋体"/>
                <w:color w:val="auto"/>
                <w:szCs w:val="21"/>
                <w:highlight w:val="none"/>
              </w:rPr>
            </w:pPr>
          </w:p>
        </w:tc>
        <w:tc>
          <w:tcPr>
            <w:tcW w:w="1123" w:type="dxa"/>
            <w:tcBorders>
              <w:top w:val="single" w:color="auto" w:sz="4" w:space="0"/>
              <w:left w:val="single" w:color="auto" w:sz="4" w:space="0"/>
              <w:bottom w:val="single" w:color="auto" w:sz="4" w:space="0"/>
              <w:right w:val="single" w:color="auto" w:sz="4" w:space="0"/>
            </w:tcBorders>
          </w:tcPr>
          <w:p w14:paraId="13C9867B">
            <w:pPr>
              <w:adjustRightInd w:val="0"/>
              <w:snapToGrid w:val="0"/>
              <w:spacing w:beforeLines="50" w:after="200" w:line="220" w:lineRule="atLeast"/>
              <w:rPr>
                <w:rFonts w:hint="eastAsia" w:ascii="宋体" w:hAnsi="宋体" w:eastAsia="宋体" w:cs="宋体"/>
                <w:color w:val="auto"/>
                <w:szCs w:val="21"/>
                <w:highlight w:val="none"/>
              </w:rPr>
            </w:pPr>
          </w:p>
        </w:tc>
        <w:tc>
          <w:tcPr>
            <w:tcW w:w="2622" w:type="dxa"/>
            <w:tcBorders>
              <w:top w:val="single" w:color="auto" w:sz="4" w:space="0"/>
              <w:left w:val="single" w:color="auto" w:sz="4" w:space="0"/>
              <w:bottom w:val="single" w:color="auto" w:sz="4" w:space="0"/>
            </w:tcBorders>
          </w:tcPr>
          <w:p w14:paraId="0D07ECFF">
            <w:pPr>
              <w:adjustRightInd w:val="0"/>
              <w:snapToGrid w:val="0"/>
              <w:spacing w:beforeLines="50" w:after="200" w:line="220" w:lineRule="atLeast"/>
              <w:rPr>
                <w:rFonts w:hint="eastAsia" w:ascii="宋体" w:hAnsi="宋体" w:eastAsia="宋体" w:cs="宋体"/>
                <w:color w:val="auto"/>
                <w:szCs w:val="21"/>
                <w:highlight w:val="none"/>
              </w:rPr>
            </w:pPr>
          </w:p>
        </w:tc>
      </w:tr>
    </w:tbl>
    <w:p w14:paraId="6B549412">
      <w:pPr>
        <w:spacing w:line="360" w:lineRule="auto"/>
        <w:rPr>
          <w:rFonts w:hint="eastAsia" w:ascii="宋体" w:hAnsi="宋体" w:eastAsia="宋体" w:cs="宋体"/>
          <w:color w:val="auto"/>
          <w:szCs w:val="21"/>
          <w:highlight w:val="none"/>
        </w:rPr>
      </w:pPr>
    </w:p>
    <w:p w14:paraId="48AD685F">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磋商供应商全称（盖章）：</w:t>
      </w:r>
    </w:p>
    <w:p w14:paraId="2F1B83B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法定代表人或者授权代表（签字或盖章）：                    </w:t>
      </w:r>
    </w:p>
    <w:p w14:paraId="0B7B579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0259E0DE">
      <w:pPr>
        <w:spacing w:afterLines="100" w:line="360" w:lineRule="auto"/>
        <w:jc w:val="center"/>
        <w:rPr>
          <w:rFonts w:hint="eastAsia" w:ascii="宋体" w:hAnsi="宋体" w:eastAsia="宋体" w:cs="宋体"/>
          <w:b/>
          <w:color w:val="auto"/>
          <w:szCs w:val="21"/>
          <w:highlight w:val="none"/>
        </w:rPr>
      </w:pPr>
    </w:p>
    <w:p w14:paraId="3408ABD9">
      <w:pPr>
        <w:spacing w:afterLines="100" w:line="360" w:lineRule="auto"/>
        <w:jc w:val="center"/>
        <w:rPr>
          <w:rFonts w:hint="eastAsia" w:ascii="宋体" w:hAnsi="宋体" w:eastAsia="宋体" w:cs="宋体"/>
          <w:b/>
          <w:color w:val="auto"/>
          <w:szCs w:val="21"/>
          <w:highlight w:val="none"/>
        </w:rPr>
      </w:pPr>
    </w:p>
    <w:p w14:paraId="5538D831">
      <w:pPr>
        <w:spacing w:line="360" w:lineRule="auto"/>
        <w:rPr>
          <w:rFonts w:hint="eastAsia" w:ascii="宋体" w:hAnsi="宋体" w:eastAsia="宋体" w:cs="宋体"/>
          <w:color w:val="auto"/>
          <w:szCs w:val="21"/>
          <w:highlight w:val="none"/>
        </w:rPr>
      </w:pPr>
    </w:p>
    <w:p w14:paraId="59127A03">
      <w:pPr>
        <w:spacing w:line="360" w:lineRule="auto"/>
        <w:rPr>
          <w:rFonts w:hint="eastAsia" w:ascii="宋体" w:hAnsi="宋体" w:eastAsia="宋体" w:cs="宋体"/>
          <w:color w:val="auto"/>
          <w:szCs w:val="21"/>
          <w:highlight w:val="none"/>
        </w:rPr>
      </w:pPr>
    </w:p>
    <w:p w14:paraId="3226252F">
      <w:pPr>
        <w:spacing w:line="360" w:lineRule="auto"/>
        <w:rPr>
          <w:rFonts w:hint="eastAsia" w:ascii="宋体" w:hAnsi="宋体" w:eastAsia="宋体" w:cs="宋体"/>
          <w:color w:val="auto"/>
          <w:szCs w:val="21"/>
          <w:highlight w:val="none"/>
        </w:rPr>
      </w:pPr>
    </w:p>
    <w:p w14:paraId="758E8833">
      <w:pPr>
        <w:jc w:val="center"/>
        <w:rPr>
          <w:rFonts w:hint="eastAsia" w:ascii="宋体" w:hAnsi="宋体" w:eastAsia="宋体" w:cs="宋体"/>
          <w:b/>
          <w:color w:val="auto"/>
          <w:szCs w:val="21"/>
          <w:highlight w:val="none"/>
        </w:rPr>
      </w:pPr>
    </w:p>
    <w:p w14:paraId="2C523855">
      <w:pPr>
        <w:jc w:val="center"/>
        <w:rPr>
          <w:rFonts w:hint="eastAsia" w:ascii="宋体" w:hAnsi="宋体" w:eastAsia="宋体" w:cs="宋体"/>
          <w:b/>
          <w:color w:val="auto"/>
          <w:szCs w:val="21"/>
          <w:highlight w:val="none"/>
        </w:rPr>
      </w:pPr>
    </w:p>
    <w:p w14:paraId="2A8BE202">
      <w:pPr>
        <w:jc w:val="center"/>
        <w:rPr>
          <w:rFonts w:hint="eastAsia" w:ascii="宋体" w:hAnsi="宋体" w:eastAsia="宋体" w:cs="宋体"/>
          <w:b/>
          <w:color w:val="auto"/>
          <w:szCs w:val="21"/>
          <w:highlight w:val="none"/>
        </w:rPr>
      </w:pPr>
    </w:p>
    <w:p w14:paraId="116F79A8">
      <w:pPr>
        <w:jc w:val="center"/>
        <w:rPr>
          <w:rFonts w:hint="eastAsia" w:ascii="宋体" w:hAnsi="宋体" w:eastAsia="宋体" w:cs="宋体"/>
          <w:b/>
          <w:color w:val="auto"/>
          <w:szCs w:val="21"/>
          <w:highlight w:val="none"/>
        </w:rPr>
      </w:pPr>
    </w:p>
    <w:p w14:paraId="1F5F8B27">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六、</w:t>
      </w:r>
      <w:r>
        <w:rPr>
          <w:rFonts w:hint="eastAsia" w:ascii="宋体" w:hAnsi="宋体" w:eastAsia="宋体" w:cs="宋体"/>
          <w:b/>
          <w:color w:val="auto"/>
          <w:szCs w:val="21"/>
          <w:highlight w:val="none"/>
          <w:lang w:val="en-US" w:eastAsia="zh-CN"/>
        </w:rPr>
        <w:t>监理</w:t>
      </w:r>
      <w:r>
        <w:rPr>
          <w:rFonts w:hint="eastAsia" w:ascii="宋体" w:hAnsi="宋体" w:eastAsia="宋体" w:cs="宋体"/>
          <w:b/>
          <w:color w:val="auto"/>
          <w:szCs w:val="21"/>
          <w:highlight w:val="none"/>
        </w:rPr>
        <w:t>方案</w:t>
      </w:r>
    </w:p>
    <w:p w14:paraId="57BCEDC3">
      <w:pPr>
        <w:jc w:val="left"/>
        <w:rPr>
          <w:rFonts w:hint="eastAsia" w:ascii="宋体" w:hAnsi="宋体" w:eastAsia="宋体" w:cs="宋体"/>
          <w:b/>
          <w:color w:val="auto"/>
          <w:szCs w:val="21"/>
          <w:highlight w:val="none"/>
        </w:rPr>
      </w:pPr>
    </w:p>
    <w:p w14:paraId="20A9339D">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根据评分标准自行编制</w:t>
      </w:r>
    </w:p>
    <w:p w14:paraId="4491803B">
      <w:pPr>
        <w:ind w:firstLine="420" w:firstLineChars="200"/>
        <w:jc w:val="center"/>
        <w:rPr>
          <w:rFonts w:hint="eastAsia" w:ascii="宋体" w:hAnsi="宋体" w:eastAsia="宋体" w:cs="宋体"/>
          <w:color w:val="auto"/>
          <w:szCs w:val="21"/>
          <w:highlight w:val="none"/>
        </w:rPr>
      </w:pPr>
    </w:p>
    <w:p w14:paraId="197F9D01">
      <w:pPr>
        <w:ind w:firstLine="420" w:firstLineChars="200"/>
        <w:jc w:val="center"/>
        <w:rPr>
          <w:rFonts w:hint="eastAsia" w:ascii="宋体" w:hAnsi="宋体" w:eastAsia="宋体" w:cs="宋体"/>
          <w:color w:val="auto"/>
          <w:szCs w:val="21"/>
          <w:highlight w:val="none"/>
        </w:rPr>
      </w:pPr>
    </w:p>
    <w:p w14:paraId="4AA590D5">
      <w:pPr>
        <w:ind w:firstLine="420" w:firstLineChars="200"/>
        <w:rPr>
          <w:rFonts w:hint="eastAsia" w:ascii="宋体" w:hAnsi="宋体" w:eastAsia="宋体" w:cs="宋体"/>
          <w:color w:val="auto"/>
          <w:szCs w:val="21"/>
          <w:highlight w:val="none"/>
        </w:rPr>
      </w:pPr>
    </w:p>
    <w:p w14:paraId="1FDEA27B">
      <w:pPr>
        <w:ind w:firstLine="420" w:firstLineChars="200"/>
        <w:jc w:val="center"/>
        <w:rPr>
          <w:rFonts w:hint="eastAsia" w:ascii="宋体" w:hAnsi="宋体" w:eastAsia="宋体" w:cs="宋体"/>
          <w:color w:val="auto"/>
          <w:szCs w:val="21"/>
          <w:highlight w:val="none"/>
        </w:rPr>
      </w:pPr>
    </w:p>
    <w:p w14:paraId="224210E7">
      <w:pPr>
        <w:ind w:firstLine="422" w:firstLineChars="200"/>
        <w:jc w:val="center"/>
        <w:rPr>
          <w:rFonts w:hint="eastAsia" w:ascii="宋体" w:hAnsi="宋体" w:eastAsia="宋体" w:cs="宋体"/>
          <w:b/>
          <w:color w:val="auto"/>
          <w:highlight w:val="none"/>
        </w:rPr>
      </w:pPr>
      <w:r>
        <w:rPr>
          <w:rFonts w:hint="eastAsia" w:ascii="宋体" w:hAnsi="宋体" w:eastAsia="宋体" w:cs="宋体"/>
          <w:b/>
          <w:color w:val="auto"/>
          <w:highlight w:val="none"/>
        </w:rPr>
        <w:t>七、项目组成员表</w:t>
      </w:r>
    </w:p>
    <w:p w14:paraId="42F98E52">
      <w:pPr>
        <w:ind w:firstLine="420" w:firstLineChars="200"/>
        <w:jc w:val="left"/>
        <w:rPr>
          <w:rFonts w:hint="eastAsia" w:ascii="宋体" w:hAnsi="宋体" w:eastAsia="宋体" w:cs="宋体"/>
          <w:color w:val="auto"/>
          <w:highlight w:val="none"/>
        </w:rPr>
      </w:pPr>
    </w:p>
    <w:p w14:paraId="675F077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p w14:paraId="78DC871E">
      <w:pPr>
        <w:pStyle w:val="2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项目编号： </w:t>
      </w:r>
    </w:p>
    <w:tbl>
      <w:tblPr>
        <w:tblStyle w:val="33"/>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30"/>
        <w:gridCol w:w="1011"/>
        <w:gridCol w:w="778"/>
        <w:gridCol w:w="811"/>
        <w:gridCol w:w="1189"/>
        <w:gridCol w:w="1611"/>
        <w:gridCol w:w="911"/>
        <w:gridCol w:w="1133"/>
        <w:gridCol w:w="865"/>
      </w:tblGrid>
      <w:tr w14:paraId="70D1F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30" w:type="dxa"/>
            <w:vMerge w:val="restart"/>
            <w:vAlign w:val="center"/>
          </w:tcPr>
          <w:p w14:paraId="6D7A5D4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拟任岗位</w:t>
            </w:r>
          </w:p>
        </w:tc>
        <w:tc>
          <w:tcPr>
            <w:tcW w:w="1011" w:type="dxa"/>
            <w:vMerge w:val="restart"/>
            <w:vAlign w:val="center"/>
          </w:tcPr>
          <w:p w14:paraId="263FB32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778" w:type="dxa"/>
            <w:vMerge w:val="restart"/>
            <w:vAlign w:val="center"/>
          </w:tcPr>
          <w:p w14:paraId="059C251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811" w:type="dxa"/>
            <w:vMerge w:val="restart"/>
            <w:vAlign w:val="center"/>
          </w:tcPr>
          <w:p w14:paraId="3B64069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1189" w:type="dxa"/>
            <w:vMerge w:val="restart"/>
            <w:vAlign w:val="center"/>
          </w:tcPr>
          <w:p w14:paraId="5BA20F9F">
            <w:pPr>
              <w:jc w:val="center"/>
              <w:rPr>
                <w:rFonts w:hint="eastAsia" w:ascii="宋体" w:hAnsi="宋体" w:eastAsia="宋体" w:cs="宋体"/>
                <w:color w:val="auto"/>
                <w:szCs w:val="21"/>
                <w:highlight w:val="none"/>
              </w:rPr>
            </w:pPr>
            <w:r>
              <w:rPr>
                <w:rFonts w:hint="eastAsia" w:ascii="宋体" w:hAnsi="宋体" w:eastAsia="宋体" w:cs="宋体"/>
                <w:color w:val="auto"/>
                <w:spacing w:val="-11"/>
                <w:szCs w:val="21"/>
                <w:highlight w:val="none"/>
              </w:rPr>
              <w:t>从事监理工作年限</w:t>
            </w:r>
          </w:p>
        </w:tc>
        <w:tc>
          <w:tcPr>
            <w:tcW w:w="4520" w:type="dxa"/>
            <w:gridSpan w:val="4"/>
            <w:vAlign w:val="center"/>
          </w:tcPr>
          <w:p w14:paraId="65F2D26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执业或职业资格证书</w:t>
            </w:r>
          </w:p>
        </w:tc>
      </w:tr>
      <w:tr w14:paraId="48288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30" w:type="dxa"/>
            <w:vMerge w:val="continue"/>
            <w:vAlign w:val="center"/>
          </w:tcPr>
          <w:p w14:paraId="5558F49E">
            <w:pPr>
              <w:jc w:val="center"/>
              <w:rPr>
                <w:rFonts w:hint="eastAsia" w:ascii="宋体" w:hAnsi="宋体" w:eastAsia="宋体" w:cs="宋体"/>
                <w:color w:val="auto"/>
                <w:szCs w:val="21"/>
                <w:highlight w:val="none"/>
              </w:rPr>
            </w:pPr>
          </w:p>
        </w:tc>
        <w:tc>
          <w:tcPr>
            <w:tcW w:w="1011" w:type="dxa"/>
            <w:vMerge w:val="continue"/>
            <w:vAlign w:val="center"/>
          </w:tcPr>
          <w:p w14:paraId="19D13586">
            <w:pPr>
              <w:jc w:val="center"/>
              <w:rPr>
                <w:rFonts w:hint="eastAsia" w:ascii="宋体" w:hAnsi="宋体" w:eastAsia="宋体" w:cs="宋体"/>
                <w:color w:val="auto"/>
                <w:szCs w:val="21"/>
                <w:highlight w:val="none"/>
              </w:rPr>
            </w:pPr>
          </w:p>
        </w:tc>
        <w:tc>
          <w:tcPr>
            <w:tcW w:w="778" w:type="dxa"/>
            <w:vMerge w:val="continue"/>
            <w:vAlign w:val="center"/>
          </w:tcPr>
          <w:p w14:paraId="7555C0DF">
            <w:pPr>
              <w:jc w:val="center"/>
              <w:rPr>
                <w:rFonts w:hint="eastAsia" w:ascii="宋体" w:hAnsi="宋体" w:eastAsia="宋体" w:cs="宋体"/>
                <w:color w:val="auto"/>
                <w:szCs w:val="21"/>
                <w:highlight w:val="none"/>
              </w:rPr>
            </w:pPr>
          </w:p>
        </w:tc>
        <w:tc>
          <w:tcPr>
            <w:tcW w:w="811" w:type="dxa"/>
            <w:vMerge w:val="continue"/>
            <w:vAlign w:val="center"/>
          </w:tcPr>
          <w:p w14:paraId="24CA6C7A">
            <w:pPr>
              <w:jc w:val="center"/>
              <w:rPr>
                <w:rFonts w:hint="eastAsia" w:ascii="宋体" w:hAnsi="宋体" w:eastAsia="宋体" w:cs="宋体"/>
                <w:color w:val="auto"/>
                <w:szCs w:val="21"/>
                <w:highlight w:val="none"/>
              </w:rPr>
            </w:pPr>
          </w:p>
        </w:tc>
        <w:tc>
          <w:tcPr>
            <w:tcW w:w="1189" w:type="dxa"/>
            <w:vMerge w:val="continue"/>
            <w:vAlign w:val="center"/>
          </w:tcPr>
          <w:p w14:paraId="4A7EF3DA">
            <w:pPr>
              <w:jc w:val="center"/>
              <w:rPr>
                <w:rFonts w:hint="eastAsia" w:ascii="宋体" w:hAnsi="宋体" w:eastAsia="宋体" w:cs="宋体"/>
                <w:color w:val="auto"/>
                <w:szCs w:val="21"/>
                <w:highlight w:val="none"/>
              </w:rPr>
            </w:pPr>
          </w:p>
        </w:tc>
        <w:tc>
          <w:tcPr>
            <w:tcW w:w="1611" w:type="dxa"/>
            <w:vAlign w:val="center"/>
          </w:tcPr>
          <w:p w14:paraId="121888D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证书名称</w:t>
            </w:r>
          </w:p>
        </w:tc>
        <w:tc>
          <w:tcPr>
            <w:tcW w:w="911" w:type="dxa"/>
            <w:vAlign w:val="center"/>
          </w:tcPr>
          <w:p w14:paraId="47C755A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级别</w:t>
            </w:r>
          </w:p>
        </w:tc>
        <w:tc>
          <w:tcPr>
            <w:tcW w:w="1133" w:type="dxa"/>
            <w:vAlign w:val="center"/>
          </w:tcPr>
          <w:p w14:paraId="4ABFD93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证号</w:t>
            </w:r>
          </w:p>
        </w:tc>
        <w:tc>
          <w:tcPr>
            <w:tcW w:w="865" w:type="dxa"/>
            <w:vAlign w:val="center"/>
          </w:tcPr>
          <w:p w14:paraId="0E31A56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w:t>
            </w:r>
          </w:p>
        </w:tc>
      </w:tr>
      <w:tr w14:paraId="7A10A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330" w:type="dxa"/>
            <w:vAlign w:val="center"/>
          </w:tcPr>
          <w:p w14:paraId="64AE3B2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总监</w:t>
            </w:r>
          </w:p>
        </w:tc>
        <w:tc>
          <w:tcPr>
            <w:tcW w:w="1011" w:type="dxa"/>
            <w:vAlign w:val="center"/>
          </w:tcPr>
          <w:p w14:paraId="19FE9ACD">
            <w:pPr>
              <w:jc w:val="center"/>
              <w:rPr>
                <w:rFonts w:hint="eastAsia" w:ascii="宋体" w:hAnsi="宋体" w:eastAsia="宋体" w:cs="宋体"/>
                <w:color w:val="auto"/>
                <w:szCs w:val="21"/>
                <w:highlight w:val="none"/>
              </w:rPr>
            </w:pPr>
          </w:p>
        </w:tc>
        <w:tc>
          <w:tcPr>
            <w:tcW w:w="778" w:type="dxa"/>
            <w:vAlign w:val="center"/>
          </w:tcPr>
          <w:p w14:paraId="49F997ED">
            <w:pPr>
              <w:jc w:val="center"/>
              <w:rPr>
                <w:rFonts w:hint="eastAsia" w:ascii="宋体" w:hAnsi="宋体" w:eastAsia="宋体" w:cs="宋体"/>
                <w:color w:val="auto"/>
                <w:szCs w:val="21"/>
                <w:highlight w:val="none"/>
              </w:rPr>
            </w:pPr>
          </w:p>
        </w:tc>
        <w:tc>
          <w:tcPr>
            <w:tcW w:w="811" w:type="dxa"/>
            <w:vAlign w:val="center"/>
          </w:tcPr>
          <w:p w14:paraId="1B7E6C6E">
            <w:pPr>
              <w:jc w:val="center"/>
              <w:rPr>
                <w:rFonts w:hint="eastAsia" w:ascii="宋体" w:hAnsi="宋体" w:eastAsia="宋体" w:cs="宋体"/>
                <w:color w:val="auto"/>
                <w:szCs w:val="21"/>
                <w:highlight w:val="none"/>
              </w:rPr>
            </w:pPr>
          </w:p>
        </w:tc>
        <w:tc>
          <w:tcPr>
            <w:tcW w:w="1189" w:type="dxa"/>
            <w:vAlign w:val="center"/>
          </w:tcPr>
          <w:p w14:paraId="1D2CF7E6">
            <w:pPr>
              <w:jc w:val="center"/>
              <w:rPr>
                <w:rFonts w:hint="eastAsia" w:ascii="宋体" w:hAnsi="宋体" w:eastAsia="宋体" w:cs="宋体"/>
                <w:color w:val="auto"/>
                <w:szCs w:val="21"/>
                <w:highlight w:val="none"/>
              </w:rPr>
            </w:pPr>
          </w:p>
        </w:tc>
        <w:tc>
          <w:tcPr>
            <w:tcW w:w="1611" w:type="dxa"/>
            <w:vAlign w:val="center"/>
          </w:tcPr>
          <w:p w14:paraId="6C56E6CA">
            <w:pPr>
              <w:jc w:val="center"/>
              <w:rPr>
                <w:rFonts w:hint="eastAsia" w:ascii="宋体" w:hAnsi="宋体" w:eastAsia="宋体" w:cs="宋体"/>
                <w:color w:val="auto"/>
                <w:szCs w:val="21"/>
                <w:highlight w:val="none"/>
              </w:rPr>
            </w:pPr>
          </w:p>
        </w:tc>
        <w:tc>
          <w:tcPr>
            <w:tcW w:w="911" w:type="dxa"/>
            <w:vAlign w:val="center"/>
          </w:tcPr>
          <w:p w14:paraId="3EBC8034">
            <w:pPr>
              <w:jc w:val="center"/>
              <w:rPr>
                <w:rFonts w:hint="eastAsia" w:ascii="宋体" w:hAnsi="宋体" w:eastAsia="宋体" w:cs="宋体"/>
                <w:color w:val="auto"/>
                <w:szCs w:val="21"/>
                <w:highlight w:val="none"/>
              </w:rPr>
            </w:pPr>
          </w:p>
        </w:tc>
        <w:tc>
          <w:tcPr>
            <w:tcW w:w="1133" w:type="dxa"/>
            <w:vAlign w:val="center"/>
          </w:tcPr>
          <w:p w14:paraId="12777D3B">
            <w:pPr>
              <w:jc w:val="center"/>
              <w:rPr>
                <w:rFonts w:hint="eastAsia" w:ascii="宋体" w:hAnsi="宋体" w:eastAsia="宋体" w:cs="宋体"/>
                <w:color w:val="auto"/>
                <w:szCs w:val="21"/>
                <w:highlight w:val="none"/>
              </w:rPr>
            </w:pPr>
          </w:p>
        </w:tc>
        <w:tc>
          <w:tcPr>
            <w:tcW w:w="865" w:type="dxa"/>
            <w:vAlign w:val="center"/>
          </w:tcPr>
          <w:p w14:paraId="2E9EBEC5">
            <w:pPr>
              <w:jc w:val="center"/>
              <w:rPr>
                <w:rFonts w:hint="eastAsia" w:ascii="宋体" w:hAnsi="宋体" w:eastAsia="宋体" w:cs="宋体"/>
                <w:color w:val="auto"/>
                <w:szCs w:val="21"/>
                <w:highlight w:val="none"/>
              </w:rPr>
            </w:pPr>
          </w:p>
        </w:tc>
      </w:tr>
      <w:tr w14:paraId="1D567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330" w:type="dxa"/>
            <w:vMerge w:val="restart"/>
            <w:vAlign w:val="center"/>
          </w:tcPr>
          <w:p w14:paraId="04CD8FE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专业监理工程师</w:t>
            </w:r>
          </w:p>
        </w:tc>
        <w:tc>
          <w:tcPr>
            <w:tcW w:w="1011" w:type="dxa"/>
            <w:tcBorders>
              <w:bottom w:val="single" w:color="auto" w:sz="4" w:space="0"/>
            </w:tcBorders>
            <w:vAlign w:val="center"/>
          </w:tcPr>
          <w:p w14:paraId="1BE85AF0">
            <w:pPr>
              <w:jc w:val="center"/>
              <w:rPr>
                <w:rFonts w:hint="eastAsia" w:ascii="宋体" w:hAnsi="宋体" w:eastAsia="宋体" w:cs="宋体"/>
                <w:color w:val="auto"/>
                <w:szCs w:val="21"/>
                <w:highlight w:val="none"/>
              </w:rPr>
            </w:pPr>
          </w:p>
        </w:tc>
        <w:tc>
          <w:tcPr>
            <w:tcW w:w="778" w:type="dxa"/>
            <w:tcBorders>
              <w:bottom w:val="single" w:color="auto" w:sz="4" w:space="0"/>
            </w:tcBorders>
            <w:vAlign w:val="center"/>
          </w:tcPr>
          <w:p w14:paraId="49FC028B">
            <w:pPr>
              <w:jc w:val="center"/>
              <w:rPr>
                <w:rFonts w:hint="eastAsia" w:ascii="宋体" w:hAnsi="宋体" w:eastAsia="宋体" w:cs="宋体"/>
                <w:color w:val="auto"/>
                <w:szCs w:val="21"/>
                <w:highlight w:val="none"/>
              </w:rPr>
            </w:pPr>
          </w:p>
        </w:tc>
        <w:tc>
          <w:tcPr>
            <w:tcW w:w="811" w:type="dxa"/>
            <w:tcBorders>
              <w:bottom w:val="single" w:color="auto" w:sz="4" w:space="0"/>
            </w:tcBorders>
            <w:vAlign w:val="center"/>
          </w:tcPr>
          <w:p w14:paraId="61B62794">
            <w:pPr>
              <w:jc w:val="center"/>
              <w:rPr>
                <w:rFonts w:hint="eastAsia" w:ascii="宋体" w:hAnsi="宋体" w:eastAsia="宋体" w:cs="宋体"/>
                <w:color w:val="auto"/>
                <w:szCs w:val="21"/>
                <w:highlight w:val="none"/>
              </w:rPr>
            </w:pPr>
          </w:p>
        </w:tc>
        <w:tc>
          <w:tcPr>
            <w:tcW w:w="1189" w:type="dxa"/>
            <w:tcBorders>
              <w:bottom w:val="single" w:color="auto" w:sz="4" w:space="0"/>
            </w:tcBorders>
            <w:vAlign w:val="center"/>
          </w:tcPr>
          <w:p w14:paraId="08733179">
            <w:pPr>
              <w:jc w:val="center"/>
              <w:rPr>
                <w:rFonts w:hint="eastAsia" w:ascii="宋体" w:hAnsi="宋体" w:eastAsia="宋体" w:cs="宋体"/>
                <w:color w:val="auto"/>
                <w:szCs w:val="21"/>
                <w:highlight w:val="none"/>
              </w:rPr>
            </w:pPr>
          </w:p>
        </w:tc>
        <w:tc>
          <w:tcPr>
            <w:tcW w:w="1611" w:type="dxa"/>
            <w:tcBorders>
              <w:bottom w:val="single" w:color="auto" w:sz="4" w:space="0"/>
            </w:tcBorders>
            <w:vAlign w:val="center"/>
          </w:tcPr>
          <w:p w14:paraId="26B39B26">
            <w:pPr>
              <w:jc w:val="center"/>
              <w:rPr>
                <w:rFonts w:hint="eastAsia" w:ascii="宋体" w:hAnsi="宋体" w:eastAsia="宋体" w:cs="宋体"/>
                <w:color w:val="auto"/>
                <w:szCs w:val="21"/>
                <w:highlight w:val="none"/>
              </w:rPr>
            </w:pPr>
          </w:p>
        </w:tc>
        <w:tc>
          <w:tcPr>
            <w:tcW w:w="911" w:type="dxa"/>
            <w:tcBorders>
              <w:bottom w:val="single" w:color="auto" w:sz="4" w:space="0"/>
            </w:tcBorders>
            <w:vAlign w:val="center"/>
          </w:tcPr>
          <w:p w14:paraId="61F00584">
            <w:pPr>
              <w:jc w:val="center"/>
              <w:rPr>
                <w:rFonts w:hint="eastAsia" w:ascii="宋体" w:hAnsi="宋体" w:eastAsia="宋体" w:cs="宋体"/>
                <w:color w:val="auto"/>
                <w:szCs w:val="21"/>
                <w:highlight w:val="none"/>
              </w:rPr>
            </w:pPr>
          </w:p>
        </w:tc>
        <w:tc>
          <w:tcPr>
            <w:tcW w:w="1133" w:type="dxa"/>
            <w:tcBorders>
              <w:bottom w:val="single" w:color="auto" w:sz="4" w:space="0"/>
            </w:tcBorders>
            <w:vAlign w:val="center"/>
          </w:tcPr>
          <w:p w14:paraId="28937A7C">
            <w:pPr>
              <w:jc w:val="center"/>
              <w:rPr>
                <w:rFonts w:hint="eastAsia" w:ascii="宋体" w:hAnsi="宋体" w:eastAsia="宋体" w:cs="宋体"/>
                <w:color w:val="auto"/>
                <w:szCs w:val="21"/>
                <w:highlight w:val="none"/>
              </w:rPr>
            </w:pPr>
          </w:p>
        </w:tc>
        <w:tc>
          <w:tcPr>
            <w:tcW w:w="865" w:type="dxa"/>
            <w:tcBorders>
              <w:bottom w:val="single" w:color="auto" w:sz="4" w:space="0"/>
            </w:tcBorders>
            <w:vAlign w:val="center"/>
          </w:tcPr>
          <w:p w14:paraId="74CB37E4">
            <w:pPr>
              <w:jc w:val="center"/>
              <w:rPr>
                <w:rFonts w:hint="eastAsia" w:ascii="宋体" w:hAnsi="宋体" w:eastAsia="宋体" w:cs="宋体"/>
                <w:color w:val="auto"/>
                <w:szCs w:val="21"/>
                <w:highlight w:val="none"/>
              </w:rPr>
            </w:pPr>
          </w:p>
        </w:tc>
      </w:tr>
      <w:tr w14:paraId="39095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330" w:type="dxa"/>
            <w:vMerge w:val="continue"/>
            <w:vAlign w:val="center"/>
          </w:tcPr>
          <w:p w14:paraId="10F33763">
            <w:pPr>
              <w:jc w:val="center"/>
              <w:rPr>
                <w:rFonts w:hint="eastAsia" w:ascii="宋体" w:hAnsi="宋体" w:eastAsia="宋体" w:cs="宋体"/>
                <w:color w:val="auto"/>
                <w:szCs w:val="21"/>
                <w:highlight w:val="none"/>
              </w:rPr>
            </w:pPr>
          </w:p>
        </w:tc>
        <w:tc>
          <w:tcPr>
            <w:tcW w:w="1011" w:type="dxa"/>
            <w:tcBorders>
              <w:top w:val="single" w:color="auto" w:sz="4" w:space="0"/>
            </w:tcBorders>
            <w:vAlign w:val="center"/>
          </w:tcPr>
          <w:p w14:paraId="34D2BB0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78" w:type="dxa"/>
            <w:tcBorders>
              <w:top w:val="single" w:color="auto" w:sz="4" w:space="0"/>
            </w:tcBorders>
            <w:vAlign w:val="center"/>
          </w:tcPr>
          <w:p w14:paraId="3CF5410E">
            <w:pPr>
              <w:jc w:val="center"/>
              <w:rPr>
                <w:rFonts w:hint="eastAsia" w:ascii="宋体" w:hAnsi="宋体" w:eastAsia="宋体" w:cs="宋体"/>
                <w:color w:val="auto"/>
                <w:szCs w:val="21"/>
                <w:highlight w:val="none"/>
              </w:rPr>
            </w:pPr>
          </w:p>
        </w:tc>
        <w:tc>
          <w:tcPr>
            <w:tcW w:w="811" w:type="dxa"/>
            <w:tcBorders>
              <w:top w:val="single" w:color="auto" w:sz="4" w:space="0"/>
            </w:tcBorders>
            <w:vAlign w:val="center"/>
          </w:tcPr>
          <w:p w14:paraId="62059B21">
            <w:pPr>
              <w:jc w:val="center"/>
              <w:rPr>
                <w:rFonts w:hint="eastAsia" w:ascii="宋体" w:hAnsi="宋体" w:eastAsia="宋体" w:cs="宋体"/>
                <w:color w:val="auto"/>
                <w:szCs w:val="21"/>
                <w:highlight w:val="none"/>
              </w:rPr>
            </w:pPr>
          </w:p>
        </w:tc>
        <w:tc>
          <w:tcPr>
            <w:tcW w:w="1189" w:type="dxa"/>
            <w:tcBorders>
              <w:top w:val="single" w:color="auto" w:sz="4" w:space="0"/>
            </w:tcBorders>
            <w:vAlign w:val="center"/>
          </w:tcPr>
          <w:p w14:paraId="1747C556">
            <w:pPr>
              <w:jc w:val="center"/>
              <w:rPr>
                <w:rFonts w:hint="eastAsia" w:ascii="宋体" w:hAnsi="宋体" w:eastAsia="宋体" w:cs="宋体"/>
                <w:color w:val="auto"/>
                <w:szCs w:val="21"/>
                <w:highlight w:val="none"/>
              </w:rPr>
            </w:pPr>
          </w:p>
        </w:tc>
        <w:tc>
          <w:tcPr>
            <w:tcW w:w="1611" w:type="dxa"/>
            <w:tcBorders>
              <w:top w:val="single" w:color="auto" w:sz="4" w:space="0"/>
            </w:tcBorders>
            <w:vAlign w:val="center"/>
          </w:tcPr>
          <w:p w14:paraId="1EFD5D82">
            <w:pPr>
              <w:jc w:val="center"/>
              <w:rPr>
                <w:rFonts w:hint="eastAsia" w:ascii="宋体" w:hAnsi="宋体" w:eastAsia="宋体" w:cs="宋体"/>
                <w:color w:val="auto"/>
                <w:szCs w:val="21"/>
                <w:highlight w:val="none"/>
              </w:rPr>
            </w:pPr>
          </w:p>
        </w:tc>
        <w:tc>
          <w:tcPr>
            <w:tcW w:w="911" w:type="dxa"/>
            <w:tcBorders>
              <w:top w:val="single" w:color="auto" w:sz="4" w:space="0"/>
            </w:tcBorders>
            <w:vAlign w:val="center"/>
          </w:tcPr>
          <w:p w14:paraId="7EAB8888">
            <w:pPr>
              <w:jc w:val="center"/>
              <w:rPr>
                <w:rFonts w:hint="eastAsia" w:ascii="宋体" w:hAnsi="宋体" w:eastAsia="宋体" w:cs="宋体"/>
                <w:color w:val="auto"/>
                <w:szCs w:val="21"/>
                <w:highlight w:val="none"/>
              </w:rPr>
            </w:pPr>
          </w:p>
        </w:tc>
        <w:tc>
          <w:tcPr>
            <w:tcW w:w="1133" w:type="dxa"/>
            <w:tcBorders>
              <w:top w:val="single" w:color="auto" w:sz="4" w:space="0"/>
            </w:tcBorders>
            <w:vAlign w:val="center"/>
          </w:tcPr>
          <w:p w14:paraId="33119C92">
            <w:pPr>
              <w:jc w:val="center"/>
              <w:rPr>
                <w:rFonts w:hint="eastAsia" w:ascii="宋体" w:hAnsi="宋体" w:eastAsia="宋体" w:cs="宋体"/>
                <w:color w:val="auto"/>
                <w:szCs w:val="21"/>
                <w:highlight w:val="none"/>
              </w:rPr>
            </w:pPr>
          </w:p>
        </w:tc>
        <w:tc>
          <w:tcPr>
            <w:tcW w:w="865" w:type="dxa"/>
            <w:tcBorders>
              <w:top w:val="single" w:color="auto" w:sz="4" w:space="0"/>
            </w:tcBorders>
            <w:vAlign w:val="center"/>
          </w:tcPr>
          <w:p w14:paraId="20C0CC86">
            <w:pPr>
              <w:jc w:val="center"/>
              <w:rPr>
                <w:rFonts w:hint="eastAsia" w:ascii="宋体" w:hAnsi="宋体" w:eastAsia="宋体" w:cs="宋体"/>
                <w:color w:val="auto"/>
                <w:szCs w:val="21"/>
                <w:highlight w:val="none"/>
              </w:rPr>
            </w:pPr>
          </w:p>
        </w:tc>
      </w:tr>
      <w:tr w14:paraId="5D286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330" w:type="dxa"/>
            <w:vMerge w:val="restart"/>
            <w:vAlign w:val="center"/>
          </w:tcPr>
          <w:p w14:paraId="55D4812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监理员</w:t>
            </w:r>
          </w:p>
        </w:tc>
        <w:tc>
          <w:tcPr>
            <w:tcW w:w="1011" w:type="dxa"/>
            <w:tcBorders>
              <w:bottom w:val="single" w:color="auto" w:sz="4" w:space="0"/>
            </w:tcBorders>
            <w:vAlign w:val="center"/>
          </w:tcPr>
          <w:p w14:paraId="27BF29A9">
            <w:pPr>
              <w:jc w:val="center"/>
              <w:rPr>
                <w:rFonts w:hint="eastAsia" w:ascii="宋体" w:hAnsi="宋体" w:eastAsia="宋体" w:cs="宋体"/>
                <w:color w:val="auto"/>
                <w:szCs w:val="21"/>
                <w:highlight w:val="none"/>
              </w:rPr>
            </w:pPr>
          </w:p>
        </w:tc>
        <w:tc>
          <w:tcPr>
            <w:tcW w:w="778" w:type="dxa"/>
            <w:tcBorders>
              <w:bottom w:val="single" w:color="auto" w:sz="4" w:space="0"/>
            </w:tcBorders>
            <w:vAlign w:val="center"/>
          </w:tcPr>
          <w:p w14:paraId="7306010D">
            <w:pPr>
              <w:jc w:val="center"/>
              <w:rPr>
                <w:rFonts w:hint="eastAsia" w:ascii="宋体" w:hAnsi="宋体" w:eastAsia="宋体" w:cs="宋体"/>
                <w:color w:val="auto"/>
                <w:szCs w:val="21"/>
                <w:highlight w:val="none"/>
              </w:rPr>
            </w:pPr>
          </w:p>
        </w:tc>
        <w:tc>
          <w:tcPr>
            <w:tcW w:w="811" w:type="dxa"/>
            <w:tcBorders>
              <w:bottom w:val="single" w:color="auto" w:sz="4" w:space="0"/>
            </w:tcBorders>
            <w:vAlign w:val="center"/>
          </w:tcPr>
          <w:p w14:paraId="135D4034">
            <w:pPr>
              <w:jc w:val="center"/>
              <w:rPr>
                <w:rFonts w:hint="eastAsia" w:ascii="宋体" w:hAnsi="宋体" w:eastAsia="宋体" w:cs="宋体"/>
                <w:color w:val="auto"/>
                <w:szCs w:val="21"/>
                <w:highlight w:val="none"/>
              </w:rPr>
            </w:pPr>
          </w:p>
        </w:tc>
        <w:tc>
          <w:tcPr>
            <w:tcW w:w="1189" w:type="dxa"/>
            <w:tcBorders>
              <w:bottom w:val="single" w:color="auto" w:sz="4" w:space="0"/>
            </w:tcBorders>
            <w:vAlign w:val="center"/>
          </w:tcPr>
          <w:p w14:paraId="4CBD3B67">
            <w:pPr>
              <w:jc w:val="center"/>
              <w:rPr>
                <w:rFonts w:hint="eastAsia" w:ascii="宋体" w:hAnsi="宋体" w:eastAsia="宋体" w:cs="宋体"/>
                <w:color w:val="auto"/>
                <w:szCs w:val="21"/>
                <w:highlight w:val="none"/>
              </w:rPr>
            </w:pPr>
          </w:p>
        </w:tc>
        <w:tc>
          <w:tcPr>
            <w:tcW w:w="1611" w:type="dxa"/>
            <w:tcBorders>
              <w:bottom w:val="single" w:color="auto" w:sz="4" w:space="0"/>
            </w:tcBorders>
            <w:vAlign w:val="center"/>
          </w:tcPr>
          <w:p w14:paraId="319145E0">
            <w:pPr>
              <w:jc w:val="center"/>
              <w:rPr>
                <w:rFonts w:hint="eastAsia" w:ascii="宋体" w:hAnsi="宋体" w:eastAsia="宋体" w:cs="宋体"/>
                <w:color w:val="auto"/>
                <w:szCs w:val="21"/>
                <w:highlight w:val="none"/>
              </w:rPr>
            </w:pPr>
          </w:p>
        </w:tc>
        <w:tc>
          <w:tcPr>
            <w:tcW w:w="911" w:type="dxa"/>
            <w:tcBorders>
              <w:bottom w:val="single" w:color="auto" w:sz="4" w:space="0"/>
            </w:tcBorders>
            <w:vAlign w:val="center"/>
          </w:tcPr>
          <w:p w14:paraId="439C676A">
            <w:pPr>
              <w:jc w:val="center"/>
              <w:rPr>
                <w:rFonts w:hint="eastAsia" w:ascii="宋体" w:hAnsi="宋体" w:eastAsia="宋体" w:cs="宋体"/>
                <w:color w:val="auto"/>
                <w:szCs w:val="21"/>
                <w:highlight w:val="none"/>
              </w:rPr>
            </w:pPr>
          </w:p>
        </w:tc>
        <w:tc>
          <w:tcPr>
            <w:tcW w:w="1133" w:type="dxa"/>
            <w:tcBorders>
              <w:bottom w:val="single" w:color="auto" w:sz="4" w:space="0"/>
            </w:tcBorders>
            <w:vAlign w:val="center"/>
          </w:tcPr>
          <w:p w14:paraId="6FE8111F">
            <w:pPr>
              <w:jc w:val="center"/>
              <w:rPr>
                <w:rFonts w:hint="eastAsia" w:ascii="宋体" w:hAnsi="宋体" w:eastAsia="宋体" w:cs="宋体"/>
                <w:color w:val="auto"/>
                <w:szCs w:val="21"/>
                <w:highlight w:val="none"/>
              </w:rPr>
            </w:pPr>
          </w:p>
        </w:tc>
        <w:tc>
          <w:tcPr>
            <w:tcW w:w="865" w:type="dxa"/>
            <w:tcBorders>
              <w:bottom w:val="single" w:color="auto" w:sz="4" w:space="0"/>
            </w:tcBorders>
            <w:vAlign w:val="center"/>
          </w:tcPr>
          <w:p w14:paraId="72521475">
            <w:pPr>
              <w:jc w:val="center"/>
              <w:rPr>
                <w:rFonts w:hint="eastAsia" w:ascii="宋体" w:hAnsi="宋体" w:eastAsia="宋体" w:cs="宋体"/>
                <w:color w:val="auto"/>
                <w:szCs w:val="21"/>
                <w:highlight w:val="none"/>
              </w:rPr>
            </w:pPr>
          </w:p>
        </w:tc>
      </w:tr>
      <w:tr w14:paraId="2636B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330" w:type="dxa"/>
            <w:vMerge w:val="continue"/>
            <w:vAlign w:val="center"/>
          </w:tcPr>
          <w:p w14:paraId="68378075">
            <w:pPr>
              <w:jc w:val="center"/>
              <w:rPr>
                <w:rFonts w:hint="eastAsia" w:ascii="宋体" w:hAnsi="宋体" w:eastAsia="宋体" w:cs="宋体"/>
                <w:color w:val="auto"/>
                <w:szCs w:val="21"/>
                <w:highlight w:val="none"/>
              </w:rPr>
            </w:pPr>
          </w:p>
        </w:tc>
        <w:tc>
          <w:tcPr>
            <w:tcW w:w="1011" w:type="dxa"/>
            <w:tcBorders>
              <w:top w:val="single" w:color="auto" w:sz="4" w:space="0"/>
            </w:tcBorders>
            <w:vAlign w:val="center"/>
          </w:tcPr>
          <w:p w14:paraId="07746D3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78" w:type="dxa"/>
            <w:tcBorders>
              <w:top w:val="single" w:color="auto" w:sz="4" w:space="0"/>
            </w:tcBorders>
            <w:vAlign w:val="center"/>
          </w:tcPr>
          <w:p w14:paraId="76CCF1A6">
            <w:pPr>
              <w:jc w:val="center"/>
              <w:rPr>
                <w:rFonts w:hint="eastAsia" w:ascii="宋体" w:hAnsi="宋体" w:eastAsia="宋体" w:cs="宋体"/>
                <w:color w:val="auto"/>
                <w:szCs w:val="21"/>
                <w:highlight w:val="none"/>
              </w:rPr>
            </w:pPr>
          </w:p>
        </w:tc>
        <w:tc>
          <w:tcPr>
            <w:tcW w:w="811" w:type="dxa"/>
            <w:tcBorders>
              <w:top w:val="single" w:color="auto" w:sz="4" w:space="0"/>
            </w:tcBorders>
            <w:vAlign w:val="center"/>
          </w:tcPr>
          <w:p w14:paraId="062FE4A5">
            <w:pPr>
              <w:jc w:val="center"/>
              <w:rPr>
                <w:rFonts w:hint="eastAsia" w:ascii="宋体" w:hAnsi="宋体" w:eastAsia="宋体" w:cs="宋体"/>
                <w:color w:val="auto"/>
                <w:szCs w:val="21"/>
                <w:highlight w:val="none"/>
              </w:rPr>
            </w:pPr>
          </w:p>
        </w:tc>
        <w:tc>
          <w:tcPr>
            <w:tcW w:w="1189" w:type="dxa"/>
            <w:tcBorders>
              <w:top w:val="single" w:color="auto" w:sz="4" w:space="0"/>
            </w:tcBorders>
            <w:vAlign w:val="center"/>
          </w:tcPr>
          <w:p w14:paraId="2848E4E1">
            <w:pPr>
              <w:jc w:val="center"/>
              <w:rPr>
                <w:rFonts w:hint="eastAsia" w:ascii="宋体" w:hAnsi="宋体" w:eastAsia="宋体" w:cs="宋体"/>
                <w:color w:val="auto"/>
                <w:szCs w:val="21"/>
                <w:highlight w:val="none"/>
              </w:rPr>
            </w:pPr>
          </w:p>
        </w:tc>
        <w:tc>
          <w:tcPr>
            <w:tcW w:w="1611" w:type="dxa"/>
            <w:tcBorders>
              <w:top w:val="single" w:color="auto" w:sz="4" w:space="0"/>
            </w:tcBorders>
            <w:vAlign w:val="center"/>
          </w:tcPr>
          <w:p w14:paraId="7BEDB916">
            <w:pPr>
              <w:jc w:val="center"/>
              <w:rPr>
                <w:rFonts w:hint="eastAsia" w:ascii="宋体" w:hAnsi="宋体" w:eastAsia="宋体" w:cs="宋体"/>
                <w:color w:val="auto"/>
                <w:szCs w:val="21"/>
                <w:highlight w:val="none"/>
              </w:rPr>
            </w:pPr>
          </w:p>
        </w:tc>
        <w:tc>
          <w:tcPr>
            <w:tcW w:w="911" w:type="dxa"/>
            <w:tcBorders>
              <w:top w:val="single" w:color="auto" w:sz="4" w:space="0"/>
            </w:tcBorders>
            <w:vAlign w:val="center"/>
          </w:tcPr>
          <w:p w14:paraId="51AA29C6">
            <w:pPr>
              <w:jc w:val="center"/>
              <w:rPr>
                <w:rFonts w:hint="eastAsia" w:ascii="宋体" w:hAnsi="宋体" w:eastAsia="宋体" w:cs="宋体"/>
                <w:color w:val="auto"/>
                <w:szCs w:val="21"/>
                <w:highlight w:val="none"/>
              </w:rPr>
            </w:pPr>
          </w:p>
        </w:tc>
        <w:tc>
          <w:tcPr>
            <w:tcW w:w="1133" w:type="dxa"/>
            <w:tcBorders>
              <w:top w:val="single" w:color="auto" w:sz="4" w:space="0"/>
            </w:tcBorders>
            <w:vAlign w:val="center"/>
          </w:tcPr>
          <w:p w14:paraId="3AF356A2">
            <w:pPr>
              <w:jc w:val="center"/>
              <w:rPr>
                <w:rFonts w:hint="eastAsia" w:ascii="宋体" w:hAnsi="宋体" w:eastAsia="宋体" w:cs="宋体"/>
                <w:color w:val="auto"/>
                <w:szCs w:val="21"/>
                <w:highlight w:val="none"/>
              </w:rPr>
            </w:pPr>
          </w:p>
        </w:tc>
        <w:tc>
          <w:tcPr>
            <w:tcW w:w="865" w:type="dxa"/>
            <w:tcBorders>
              <w:top w:val="single" w:color="auto" w:sz="4" w:space="0"/>
            </w:tcBorders>
            <w:vAlign w:val="center"/>
          </w:tcPr>
          <w:p w14:paraId="4C696883">
            <w:pPr>
              <w:jc w:val="center"/>
              <w:rPr>
                <w:rFonts w:hint="eastAsia" w:ascii="宋体" w:hAnsi="宋体" w:eastAsia="宋体" w:cs="宋体"/>
                <w:color w:val="auto"/>
                <w:szCs w:val="21"/>
                <w:highlight w:val="none"/>
              </w:rPr>
            </w:pPr>
          </w:p>
        </w:tc>
      </w:tr>
      <w:tr w14:paraId="6A681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330" w:type="dxa"/>
            <w:vAlign w:val="center"/>
          </w:tcPr>
          <w:p w14:paraId="48F8E54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11" w:type="dxa"/>
            <w:vAlign w:val="center"/>
          </w:tcPr>
          <w:p w14:paraId="5454F9E7">
            <w:pPr>
              <w:jc w:val="center"/>
              <w:rPr>
                <w:rFonts w:hint="eastAsia" w:ascii="宋体" w:hAnsi="宋体" w:eastAsia="宋体" w:cs="宋体"/>
                <w:color w:val="auto"/>
                <w:szCs w:val="21"/>
                <w:highlight w:val="none"/>
              </w:rPr>
            </w:pPr>
          </w:p>
        </w:tc>
        <w:tc>
          <w:tcPr>
            <w:tcW w:w="778" w:type="dxa"/>
            <w:vAlign w:val="center"/>
          </w:tcPr>
          <w:p w14:paraId="3AA9E51E">
            <w:pPr>
              <w:jc w:val="center"/>
              <w:rPr>
                <w:rFonts w:hint="eastAsia" w:ascii="宋体" w:hAnsi="宋体" w:eastAsia="宋体" w:cs="宋体"/>
                <w:color w:val="auto"/>
                <w:szCs w:val="21"/>
                <w:highlight w:val="none"/>
              </w:rPr>
            </w:pPr>
          </w:p>
        </w:tc>
        <w:tc>
          <w:tcPr>
            <w:tcW w:w="811" w:type="dxa"/>
            <w:vAlign w:val="center"/>
          </w:tcPr>
          <w:p w14:paraId="1D82169D">
            <w:pPr>
              <w:jc w:val="center"/>
              <w:rPr>
                <w:rFonts w:hint="eastAsia" w:ascii="宋体" w:hAnsi="宋体" w:eastAsia="宋体" w:cs="宋体"/>
                <w:color w:val="auto"/>
                <w:szCs w:val="21"/>
                <w:highlight w:val="none"/>
              </w:rPr>
            </w:pPr>
          </w:p>
        </w:tc>
        <w:tc>
          <w:tcPr>
            <w:tcW w:w="1189" w:type="dxa"/>
            <w:vAlign w:val="center"/>
          </w:tcPr>
          <w:p w14:paraId="36F8A3C2">
            <w:pPr>
              <w:jc w:val="center"/>
              <w:rPr>
                <w:rFonts w:hint="eastAsia" w:ascii="宋体" w:hAnsi="宋体" w:eastAsia="宋体" w:cs="宋体"/>
                <w:color w:val="auto"/>
                <w:szCs w:val="21"/>
                <w:highlight w:val="none"/>
              </w:rPr>
            </w:pPr>
          </w:p>
        </w:tc>
        <w:tc>
          <w:tcPr>
            <w:tcW w:w="1611" w:type="dxa"/>
            <w:vAlign w:val="center"/>
          </w:tcPr>
          <w:p w14:paraId="046753F5">
            <w:pPr>
              <w:jc w:val="center"/>
              <w:rPr>
                <w:rFonts w:hint="eastAsia" w:ascii="宋体" w:hAnsi="宋体" w:eastAsia="宋体" w:cs="宋体"/>
                <w:color w:val="auto"/>
                <w:szCs w:val="21"/>
                <w:highlight w:val="none"/>
              </w:rPr>
            </w:pPr>
          </w:p>
        </w:tc>
        <w:tc>
          <w:tcPr>
            <w:tcW w:w="911" w:type="dxa"/>
            <w:vAlign w:val="center"/>
          </w:tcPr>
          <w:p w14:paraId="29ED460F">
            <w:pPr>
              <w:jc w:val="center"/>
              <w:rPr>
                <w:rFonts w:hint="eastAsia" w:ascii="宋体" w:hAnsi="宋体" w:eastAsia="宋体" w:cs="宋体"/>
                <w:color w:val="auto"/>
                <w:szCs w:val="21"/>
                <w:highlight w:val="none"/>
              </w:rPr>
            </w:pPr>
          </w:p>
        </w:tc>
        <w:tc>
          <w:tcPr>
            <w:tcW w:w="1133" w:type="dxa"/>
            <w:vAlign w:val="center"/>
          </w:tcPr>
          <w:p w14:paraId="1747711F">
            <w:pPr>
              <w:jc w:val="center"/>
              <w:rPr>
                <w:rFonts w:hint="eastAsia" w:ascii="宋体" w:hAnsi="宋体" w:eastAsia="宋体" w:cs="宋体"/>
                <w:color w:val="auto"/>
                <w:szCs w:val="21"/>
                <w:highlight w:val="none"/>
              </w:rPr>
            </w:pPr>
          </w:p>
        </w:tc>
        <w:tc>
          <w:tcPr>
            <w:tcW w:w="865" w:type="dxa"/>
            <w:vAlign w:val="center"/>
          </w:tcPr>
          <w:p w14:paraId="77812000">
            <w:pPr>
              <w:jc w:val="center"/>
              <w:rPr>
                <w:rFonts w:hint="eastAsia" w:ascii="宋体" w:hAnsi="宋体" w:eastAsia="宋体" w:cs="宋体"/>
                <w:color w:val="auto"/>
                <w:szCs w:val="21"/>
                <w:highlight w:val="none"/>
              </w:rPr>
            </w:pPr>
          </w:p>
        </w:tc>
      </w:tr>
    </w:tbl>
    <w:p w14:paraId="39B69D7D">
      <w:pPr>
        <w:pStyle w:val="22"/>
        <w:spacing w:line="360" w:lineRule="auto"/>
        <w:rPr>
          <w:rFonts w:hint="eastAsia" w:ascii="宋体" w:hAnsi="宋体" w:eastAsia="宋体" w:cs="宋体"/>
          <w:color w:val="auto"/>
          <w:highlight w:val="none"/>
        </w:rPr>
      </w:pPr>
    </w:p>
    <w:p w14:paraId="0EC1EABC">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磋商供应商全称（盖章）：</w:t>
      </w:r>
    </w:p>
    <w:p w14:paraId="2C9D88B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法定代表人或者授权代表（签字或盖章）：                    </w:t>
      </w:r>
    </w:p>
    <w:p w14:paraId="02C0B6C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07F87843">
      <w:pPr>
        <w:spacing w:line="360" w:lineRule="auto"/>
        <w:rPr>
          <w:rFonts w:hint="eastAsia" w:ascii="宋体" w:hAnsi="宋体" w:eastAsia="宋体" w:cs="宋体"/>
          <w:color w:val="auto"/>
          <w:szCs w:val="21"/>
          <w:highlight w:val="none"/>
        </w:rPr>
      </w:pPr>
    </w:p>
    <w:p w14:paraId="0C291446">
      <w:pPr>
        <w:rPr>
          <w:rFonts w:hint="eastAsia" w:ascii="宋体" w:hAnsi="宋体" w:eastAsia="宋体" w:cs="宋体"/>
          <w:color w:val="auto"/>
          <w:highlight w:val="none"/>
        </w:rPr>
      </w:pPr>
      <w:r>
        <w:rPr>
          <w:rFonts w:hint="eastAsia" w:ascii="宋体" w:hAnsi="宋体" w:eastAsia="宋体" w:cs="宋体"/>
          <w:color w:val="auto"/>
          <w:szCs w:val="21"/>
          <w:highlight w:val="none"/>
        </w:rPr>
        <w:t>注：</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highlight w:val="none"/>
        </w:rPr>
        <w:t>应随此表附上相关的证明。</w:t>
      </w:r>
    </w:p>
    <w:p w14:paraId="67D79F0F">
      <w:pPr>
        <w:pStyle w:val="2"/>
        <w:rPr>
          <w:rFonts w:hint="eastAsia" w:ascii="宋体" w:hAnsi="宋体" w:eastAsia="宋体" w:cs="宋体"/>
          <w:color w:val="auto"/>
          <w:szCs w:val="21"/>
          <w:highlight w:val="none"/>
        </w:rPr>
      </w:pPr>
    </w:p>
    <w:p w14:paraId="0059286A">
      <w:pPr>
        <w:pStyle w:val="4"/>
        <w:rPr>
          <w:rFonts w:hint="eastAsia" w:ascii="宋体" w:hAnsi="宋体" w:eastAsia="宋体" w:cs="宋体"/>
          <w:color w:val="auto"/>
          <w:szCs w:val="21"/>
          <w:highlight w:val="none"/>
        </w:rPr>
      </w:pPr>
    </w:p>
    <w:p w14:paraId="70C172C5">
      <w:pPr>
        <w:pStyle w:val="5"/>
        <w:rPr>
          <w:rFonts w:hint="eastAsia" w:ascii="宋体" w:hAnsi="宋体" w:eastAsia="宋体" w:cs="宋体"/>
          <w:color w:val="auto"/>
          <w:highlight w:val="none"/>
        </w:rPr>
      </w:pPr>
    </w:p>
    <w:p w14:paraId="3E23DE01">
      <w:pPr>
        <w:spacing w:line="360" w:lineRule="auto"/>
        <w:rPr>
          <w:rFonts w:hint="eastAsia" w:ascii="宋体" w:hAnsi="宋体" w:eastAsia="宋体" w:cs="宋体"/>
          <w:color w:val="auto"/>
          <w:szCs w:val="21"/>
          <w:highlight w:val="none"/>
        </w:rPr>
      </w:pPr>
    </w:p>
    <w:p w14:paraId="1A4959BE">
      <w:pPr>
        <w:spacing w:line="360" w:lineRule="auto"/>
        <w:rPr>
          <w:rFonts w:hint="eastAsia" w:ascii="宋体" w:hAnsi="宋体" w:eastAsia="宋体" w:cs="宋体"/>
          <w:color w:val="auto"/>
          <w:szCs w:val="21"/>
          <w:highlight w:val="none"/>
        </w:rPr>
      </w:pPr>
    </w:p>
    <w:p w14:paraId="04459549">
      <w:pPr>
        <w:pStyle w:val="2"/>
        <w:ind w:firstLine="420"/>
        <w:rPr>
          <w:rFonts w:hint="eastAsia" w:ascii="宋体" w:hAnsi="宋体" w:eastAsia="宋体" w:cs="宋体"/>
          <w:color w:val="auto"/>
          <w:highlight w:val="none"/>
        </w:rPr>
      </w:pPr>
    </w:p>
    <w:p w14:paraId="7F017651">
      <w:pPr>
        <w:shd w:val="clear" w:color="auto" w:fill="auto"/>
        <w:jc w:val="center"/>
        <w:rPr>
          <w:rFonts w:hint="eastAsia" w:ascii="宋体" w:hAnsi="宋体" w:eastAsia="宋体" w:cs="宋体"/>
          <w:b/>
          <w:color w:val="auto"/>
          <w:szCs w:val="21"/>
          <w:highlight w:val="none"/>
        </w:rPr>
      </w:pPr>
    </w:p>
    <w:p w14:paraId="251D9B60">
      <w:pPr>
        <w:numPr>
          <w:ilvl w:val="0"/>
          <w:numId w:val="3"/>
        </w:numPr>
        <w:shd w:val="clear" w:color="auto" w:fill="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拟投入现场的设备、检测仪器一览表</w:t>
      </w:r>
    </w:p>
    <w:p w14:paraId="5B1EC5FD">
      <w:pPr>
        <w:spacing w:line="360" w:lineRule="auto"/>
        <w:rPr>
          <w:rFonts w:hint="eastAsia" w:ascii="宋体" w:hAnsi="宋体" w:eastAsia="宋体" w:cs="宋体"/>
          <w:color w:val="auto"/>
          <w:szCs w:val="21"/>
          <w:highlight w:val="none"/>
        </w:rPr>
      </w:pPr>
    </w:p>
    <w:p w14:paraId="0C4D986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p w14:paraId="78DF716B">
      <w:pPr>
        <w:numPr>
          <w:ilvl w:val="0"/>
          <w:numId w:val="0"/>
        </w:numPr>
        <w:shd w:val="clear" w:color="auto" w:fill="auto"/>
        <w:jc w:val="both"/>
        <w:rPr>
          <w:rFonts w:hint="eastAsia" w:ascii="宋体" w:hAnsi="宋体" w:eastAsia="宋体" w:cs="宋体"/>
          <w:b/>
          <w:color w:val="auto"/>
          <w:szCs w:val="21"/>
          <w:highlight w:val="none"/>
        </w:rPr>
      </w:pPr>
      <w:r>
        <w:rPr>
          <w:rFonts w:hint="eastAsia" w:ascii="宋体" w:hAnsi="宋体" w:eastAsia="宋体" w:cs="宋体"/>
          <w:color w:val="auto"/>
          <w:sz w:val="21"/>
          <w:szCs w:val="21"/>
          <w:highlight w:val="none"/>
        </w:rPr>
        <w:t>项目编号：</w:t>
      </w:r>
    </w:p>
    <w:tbl>
      <w:tblPr>
        <w:tblStyle w:val="3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846"/>
        <w:gridCol w:w="1422"/>
        <w:gridCol w:w="710"/>
        <w:gridCol w:w="1209"/>
        <w:gridCol w:w="1154"/>
        <w:gridCol w:w="1791"/>
        <w:gridCol w:w="692"/>
      </w:tblGrid>
      <w:tr w14:paraId="71B58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exact"/>
          <w:jc w:val="center"/>
        </w:trPr>
        <w:tc>
          <w:tcPr>
            <w:tcW w:w="814" w:type="dxa"/>
            <w:tcBorders>
              <w:top w:val="outset" w:color="auto" w:sz="6" w:space="0"/>
              <w:left w:val="outset" w:color="auto" w:sz="6" w:space="0"/>
              <w:bottom w:val="outset" w:color="auto" w:sz="6" w:space="0"/>
              <w:right w:val="outset" w:color="auto" w:sz="6" w:space="0"/>
            </w:tcBorders>
            <w:noWrap w:val="0"/>
            <w:vAlign w:val="center"/>
          </w:tcPr>
          <w:p w14:paraId="32E910A7">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846" w:type="dxa"/>
            <w:tcBorders>
              <w:top w:val="outset" w:color="auto" w:sz="6" w:space="0"/>
              <w:left w:val="outset" w:color="auto" w:sz="6" w:space="0"/>
              <w:bottom w:val="outset" w:color="auto" w:sz="6" w:space="0"/>
              <w:right w:val="outset" w:color="auto" w:sz="6" w:space="0"/>
            </w:tcBorders>
            <w:noWrap w:val="0"/>
            <w:vAlign w:val="center"/>
          </w:tcPr>
          <w:p w14:paraId="3DA49792">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设备或仪器名称</w:t>
            </w:r>
          </w:p>
        </w:tc>
        <w:tc>
          <w:tcPr>
            <w:tcW w:w="1422" w:type="dxa"/>
            <w:tcBorders>
              <w:top w:val="outset" w:color="auto" w:sz="6" w:space="0"/>
              <w:left w:val="outset" w:color="auto" w:sz="6" w:space="0"/>
              <w:bottom w:val="outset" w:color="auto" w:sz="6" w:space="0"/>
              <w:right w:val="outset" w:color="auto" w:sz="6" w:space="0"/>
            </w:tcBorders>
            <w:noWrap w:val="0"/>
            <w:vAlign w:val="center"/>
          </w:tcPr>
          <w:p w14:paraId="17E8C0DE">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型号规格</w:t>
            </w:r>
          </w:p>
        </w:tc>
        <w:tc>
          <w:tcPr>
            <w:tcW w:w="710" w:type="dxa"/>
            <w:tcBorders>
              <w:top w:val="outset" w:color="auto" w:sz="6" w:space="0"/>
              <w:left w:val="outset" w:color="auto" w:sz="6" w:space="0"/>
              <w:bottom w:val="outset" w:color="auto" w:sz="6" w:space="0"/>
              <w:right w:val="outset" w:color="auto" w:sz="6" w:space="0"/>
            </w:tcBorders>
            <w:noWrap w:val="0"/>
            <w:vAlign w:val="center"/>
          </w:tcPr>
          <w:p w14:paraId="794D3DE8">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209" w:type="dxa"/>
            <w:tcBorders>
              <w:top w:val="outset" w:color="auto" w:sz="6" w:space="0"/>
              <w:left w:val="outset" w:color="auto" w:sz="6" w:space="0"/>
              <w:bottom w:val="outset" w:color="auto" w:sz="6" w:space="0"/>
              <w:right w:val="outset" w:color="auto" w:sz="6" w:space="0"/>
            </w:tcBorders>
            <w:noWrap w:val="0"/>
            <w:vAlign w:val="center"/>
          </w:tcPr>
          <w:p w14:paraId="1A12BA25">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国别产地</w:t>
            </w:r>
          </w:p>
        </w:tc>
        <w:tc>
          <w:tcPr>
            <w:tcW w:w="1154" w:type="dxa"/>
            <w:tcBorders>
              <w:top w:val="outset" w:color="auto" w:sz="6" w:space="0"/>
              <w:left w:val="outset" w:color="auto" w:sz="6" w:space="0"/>
              <w:bottom w:val="outset" w:color="auto" w:sz="6" w:space="0"/>
              <w:right w:val="outset" w:color="auto" w:sz="6" w:space="0"/>
            </w:tcBorders>
            <w:noWrap w:val="0"/>
            <w:vAlign w:val="center"/>
          </w:tcPr>
          <w:p w14:paraId="4D79FBE6">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制造年份</w:t>
            </w:r>
          </w:p>
        </w:tc>
        <w:tc>
          <w:tcPr>
            <w:tcW w:w="1791" w:type="dxa"/>
            <w:tcBorders>
              <w:top w:val="outset" w:color="auto" w:sz="6" w:space="0"/>
              <w:left w:val="outset" w:color="auto" w:sz="6" w:space="0"/>
              <w:bottom w:val="outset" w:color="auto" w:sz="6" w:space="0"/>
              <w:right w:val="outset" w:color="auto" w:sz="6" w:space="0"/>
            </w:tcBorders>
            <w:noWrap w:val="0"/>
            <w:vAlign w:val="center"/>
          </w:tcPr>
          <w:p w14:paraId="65A6828A">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用途</w:t>
            </w:r>
          </w:p>
        </w:tc>
        <w:tc>
          <w:tcPr>
            <w:tcW w:w="692" w:type="dxa"/>
            <w:tcBorders>
              <w:top w:val="outset" w:color="auto" w:sz="6" w:space="0"/>
              <w:left w:val="outset" w:color="auto" w:sz="6" w:space="0"/>
              <w:bottom w:val="outset" w:color="auto" w:sz="6" w:space="0"/>
              <w:right w:val="outset" w:color="auto" w:sz="6" w:space="0"/>
            </w:tcBorders>
            <w:noWrap w:val="0"/>
            <w:vAlign w:val="center"/>
          </w:tcPr>
          <w:p w14:paraId="30811F51">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41A9C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4" w:type="dxa"/>
            <w:tcBorders>
              <w:top w:val="outset" w:color="auto" w:sz="6" w:space="0"/>
              <w:left w:val="outset" w:color="auto" w:sz="6" w:space="0"/>
              <w:bottom w:val="outset" w:color="auto" w:sz="6" w:space="0"/>
              <w:right w:val="outset" w:color="auto" w:sz="6" w:space="0"/>
            </w:tcBorders>
            <w:noWrap w:val="0"/>
            <w:vAlign w:val="center"/>
          </w:tcPr>
          <w:p w14:paraId="091471D7">
            <w:pPr>
              <w:shd w:val="clear" w:color="auto" w:fill="auto"/>
              <w:jc w:val="center"/>
              <w:rPr>
                <w:rFonts w:hint="eastAsia" w:ascii="宋体" w:hAnsi="宋体" w:eastAsia="宋体" w:cs="宋体"/>
                <w:color w:val="auto"/>
                <w:szCs w:val="21"/>
                <w:highlight w:val="none"/>
              </w:rPr>
            </w:pPr>
          </w:p>
        </w:tc>
        <w:tc>
          <w:tcPr>
            <w:tcW w:w="1846" w:type="dxa"/>
            <w:tcBorders>
              <w:top w:val="outset" w:color="auto" w:sz="6" w:space="0"/>
              <w:left w:val="outset" w:color="auto" w:sz="6" w:space="0"/>
              <w:bottom w:val="outset" w:color="auto" w:sz="6" w:space="0"/>
              <w:right w:val="outset" w:color="auto" w:sz="6" w:space="0"/>
            </w:tcBorders>
            <w:noWrap w:val="0"/>
            <w:vAlign w:val="center"/>
          </w:tcPr>
          <w:p w14:paraId="5AF36180">
            <w:pPr>
              <w:shd w:val="clear" w:color="auto" w:fill="auto"/>
              <w:jc w:val="center"/>
              <w:rPr>
                <w:rFonts w:hint="eastAsia" w:ascii="宋体" w:hAnsi="宋体" w:eastAsia="宋体" w:cs="宋体"/>
                <w:color w:val="auto"/>
                <w:szCs w:val="21"/>
                <w:highlight w:val="none"/>
              </w:rPr>
            </w:pPr>
          </w:p>
        </w:tc>
        <w:tc>
          <w:tcPr>
            <w:tcW w:w="1422" w:type="dxa"/>
            <w:tcBorders>
              <w:top w:val="outset" w:color="auto" w:sz="6" w:space="0"/>
              <w:left w:val="outset" w:color="auto" w:sz="6" w:space="0"/>
              <w:bottom w:val="outset" w:color="auto" w:sz="6" w:space="0"/>
              <w:right w:val="outset" w:color="auto" w:sz="6" w:space="0"/>
            </w:tcBorders>
            <w:noWrap w:val="0"/>
            <w:vAlign w:val="center"/>
          </w:tcPr>
          <w:p w14:paraId="2B4CF816">
            <w:pPr>
              <w:shd w:val="clear" w:color="auto" w:fill="auto"/>
              <w:jc w:val="center"/>
              <w:rPr>
                <w:rFonts w:hint="eastAsia" w:ascii="宋体" w:hAnsi="宋体" w:eastAsia="宋体" w:cs="宋体"/>
                <w:color w:val="auto"/>
                <w:szCs w:val="21"/>
                <w:highlight w:val="none"/>
              </w:rPr>
            </w:pPr>
          </w:p>
        </w:tc>
        <w:tc>
          <w:tcPr>
            <w:tcW w:w="710" w:type="dxa"/>
            <w:tcBorders>
              <w:top w:val="outset" w:color="auto" w:sz="6" w:space="0"/>
              <w:left w:val="outset" w:color="auto" w:sz="6" w:space="0"/>
              <w:bottom w:val="outset" w:color="auto" w:sz="6" w:space="0"/>
              <w:right w:val="outset" w:color="auto" w:sz="6" w:space="0"/>
            </w:tcBorders>
            <w:noWrap w:val="0"/>
            <w:vAlign w:val="center"/>
          </w:tcPr>
          <w:p w14:paraId="2C9502A2">
            <w:pPr>
              <w:shd w:val="clear" w:color="auto" w:fill="auto"/>
              <w:jc w:val="center"/>
              <w:rPr>
                <w:rFonts w:hint="eastAsia" w:ascii="宋体" w:hAnsi="宋体" w:eastAsia="宋体" w:cs="宋体"/>
                <w:color w:val="auto"/>
                <w:szCs w:val="21"/>
                <w:highlight w:val="none"/>
              </w:rPr>
            </w:pPr>
          </w:p>
        </w:tc>
        <w:tc>
          <w:tcPr>
            <w:tcW w:w="1209" w:type="dxa"/>
            <w:tcBorders>
              <w:top w:val="outset" w:color="auto" w:sz="6" w:space="0"/>
              <w:left w:val="outset" w:color="auto" w:sz="6" w:space="0"/>
              <w:bottom w:val="outset" w:color="auto" w:sz="6" w:space="0"/>
              <w:right w:val="outset" w:color="auto" w:sz="6" w:space="0"/>
            </w:tcBorders>
            <w:noWrap w:val="0"/>
            <w:vAlign w:val="center"/>
          </w:tcPr>
          <w:p w14:paraId="32FFBB64">
            <w:pPr>
              <w:shd w:val="clear" w:color="auto" w:fill="auto"/>
              <w:jc w:val="center"/>
              <w:rPr>
                <w:rFonts w:hint="eastAsia" w:ascii="宋体" w:hAnsi="宋体" w:eastAsia="宋体" w:cs="宋体"/>
                <w:color w:val="auto"/>
                <w:szCs w:val="21"/>
                <w:highlight w:val="none"/>
              </w:rPr>
            </w:pPr>
          </w:p>
        </w:tc>
        <w:tc>
          <w:tcPr>
            <w:tcW w:w="1154" w:type="dxa"/>
            <w:tcBorders>
              <w:top w:val="outset" w:color="auto" w:sz="6" w:space="0"/>
              <w:left w:val="outset" w:color="auto" w:sz="6" w:space="0"/>
              <w:bottom w:val="outset" w:color="auto" w:sz="6" w:space="0"/>
              <w:right w:val="outset" w:color="auto" w:sz="6" w:space="0"/>
            </w:tcBorders>
            <w:noWrap w:val="0"/>
            <w:vAlign w:val="center"/>
          </w:tcPr>
          <w:p w14:paraId="6233AEF9">
            <w:pPr>
              <w:shd w:val="clear" w:color="auto" w:fill="auto"/>
              <w:jc w:val="center"/>
              <w:rPr>
                <w:rFonts w:hint="eastAsia" w:ascii="宋体" w:hAnsi="宋体" w:eastAsia="宋体" w:cs="宋体"/>
                <w:color w:val="auto"/>
                <w:szCs w:val="21"/>
                <w:highlight w:val="none"/>
              </w:rPr>
            </w:pPr>
          </w:p>
        </w:tc>
        <w:tc>
          <w:tcPr>
            <w:tcW w:w="1791" w:type="dxa"/>
            <w:tcBorders>
              <w:top w:val="outset" w:color="auto" w:sz="6" w:space="0"/>
              <w:left w:val="outset" w:color="auto" w:sz="6" w:space="0"/>
              <w:bottom w:val="outset" w:color="auto" w:sz="6" w:space="0"/>
              <w:right w:val="outset" w:color="auto" w:sz="6" w:space="0"/>
            </w:tcBorders>
            <w:noWrap w:val="0"/>
            <w:vAlign w:val="center"/>
          </w:tcPr>
          <w:p w14:paraId="59B23DE9">
            <w:pPr>
              <w:shd w:val="clear" w:color="auto" w:fill="auto"/>
              <w:jc w:val="center"/>
              <w:rPr>
                <w:rFonts w:hint="eastAsia" w:ascii="宋体" w:hAnsi="宋体" w:eastAsia="宋体" w:cs="宋体"/>
                <w:color w:val="auto"/>
                <w:szCs w:val="21"/>
                <w:highlight w:val="none"/>
              </w:rPr>
            </w:pPr>
          </w:p>
        </w:tc>
        <w:tc>
          <w:tcPr>
            <w:tcW w:w="692" w:type="dxa"/>
            <w:tcBorders>
              <w:top w:val="outset" w:color="auto" w:sz="6" w:space="0"/>
              <w:left w:val="outset" w:color="auto" w:sz="6" w:space="0"/>
              <w:bottom w:val="outset" w:color="auto" w:sz="6" w:space="0"/>
              <w:right w:val="outset" w:color="auto" w:sz="6" w:space="0"/>
            </w:tcBorders>
            <w:noWrap w:val="0"/>
            <w:vAlign w:val="center"/>
          </w:tcPr>
          <w:p w14:paraId="2E10DD91">
            <w:pPr>
              <w:shd w:val="clear" w:color="auto" w:fill="auto"/>
              <w:jc w:val="center"/>
              <w:rPr>
                <w:rFonts w:hint="eastAsia" w:ascii="宋体" w:hAnsi="宋体" w:eastAsia="宋体" w:cs="宋体"/>
                <w:color w:val="auto"/>
                <w:szCs w:val="21"/>
                <w:highlight w:val="none"/>
              </w:rPr>
            </w:pPr>
          </w:p>
        </w:tc>
      </w:tr>
      <w:tr w14:paraId="32431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4" w:type="dxa"/>
            <w:tcBorders>
              <w:top w:val="outset" w:color="auto" w:sz="6" w:space="0"/>
              <w:left w:val="outset" w:color="auto" w:sz="6" w:space="0"/>
              <w:bottom w:val="outset" w:color="auto" w:sz="6" w:space="0"/>
              <w:right w:val="outset" w:color="auto" w:sz="6" w:space="0"/>
            </w:tcBorders>
            <w:noWrap w:val="0"/>
            <w:vAlign w:val="center"/>
          </w:tcPr>
          <w:p w14:paraId="3372A10A">
            <w:pPr>
              <w:shd w:val="clear" w:color="auto" w:fill="auto"/>
              <w:jc w:val="center"/>
              <w:rPr>
                <w:rFonts w:hint="eastAsia" w:ascii="宋体" w:hAnsi="宋体" w:eastAsia="宋体" w:cs="宋体"/>
                <w:color w:val="auto"/>
                <w:szCs w:val="21"/>
                <w:highlight w:val="none"/>
              </w:rPr>
            </w:pPr>
          </w:p>
        </w:tc>
        <w:tc>
          <w:tcPr>
            <w:tcW w:w="1846" w:type="dxa"/>
            <w:tcBorders>
              <w:top w:val="outset" w:color="auto" w:sz="6" w:space="0"/>
              <w:left w:val="outset" w:color="auto" w:sz="6" w:space="0"/>
              <w:bottom w:val="outset" w:color="auto" w:sz="6" w:space="0"/>
              <w:right w:val="outset" w:color="auto" w:sz="6" w:space="0"/>
            </w:tcBorders>
            <w:noWrap w:val="0"/>
            <w:vAlign w:val="center"/>
          </w:tcPr>
          <w:p w14:paraId="349D7596">
            <w:pPr>
              <w:shd w:val="clear" w:color="auto" w:fill="auto"/>
              <w:jc w:val="center"/>
              <w:rPr>
                <w:rFonts w:hint="eastAsia" w:ascii="宋体" w:hAnsi="宋体" w:eastAsia="宋体" w:cs="宋体"/>
                <w:color w:val="auto"/>
                <w:szCs w:val="21"/>
                <w:highlight w:val="none"/>
              </w:rPr>
            </w:pPr>
          </w:p>
        </w:tc>
        <w:tc>
          <w:tcPr>
            <w:tcW w:w="1422" w:type="dxa"/>
            <w:tcBorders>
              <w:top w:val="outset" w:color="auto" w:sz="6" w:space="0"/>
              <w:left w:val="outset" w:color="auto" w:sz="6" w:space="0"/>
              <w:bottom w:val="outset" w:color="auto" w:sz="6" w:space="0"/>
              <w:right w:val="outset" w:color="auto" w:sz="6" w:space="0"/>
            </w:tcBorders>
            <w:noWrap w:val="0"/>
            <w:vAlign w:val="center"/>
          </w:tcPr>
          <w:p w14:paraId="4640D93E">
            <w:pPr>
              <w:shd w:val="clear" w:color="auto" w:fill="auto"/>
              <w:jc w:val="center"/>
              <w:rPr>
                <w:rFonts w:hint="eastAsia" w:ascii="宋体" w:hAnsi="宋体" w:eastAsia="宋体" w:cs="宋体"/>
                <w:color w:val="auto"/>
                <w:szCs w:val="21"/>
                <w:highlight w:val="none"/>
              </w:rPr>
            </w:pPr>
          </w:p>
        </w:tc>
        <w:tc>
          <w:tcPr>
            <w:tcW w:w="710" w:type="dxa"/>
            <w:tcBorders>
              <w:top w:val="outset" w:color="auto" w:sz="6" w:space="0"/>
              <w:left w:val="outset" w:color="auto" w:sz="6" w:space="0"/>
              <w:bottom w:val="outset" w:color="auto" w:sz="6" w:space="0"/>
              <w:right w:val="outset" w:color="auto" w:sz="6" w:space="0"/>
            </w:tcBorders>
            <w:noWrap w:val="0"/>
            <w:vAlign w:val="center"/>
          </w:tcPr>
          <w:p w14:paraId="6A557445">
            <w:pPr>
              <w:shd w:val="clear" w:color="auto" w:fill="auto"/>
              <w:jc w:val="center"/>
              <w:rPr>
                <w:rFonts w:hint="eastAsia" w:ascii="宋体" w:hAnsi="宋体" w:eastAsia="宋体" w:cs="宋体"/>
                <w:color w:val="auto"/>
                <w:szCs w:val="21"/>
                <w:highlight w:val="none"/>
              </w:rPr>
            </w:pPr>
          </w:p>
        </w:tc>
        <w:tc>
          <w:tcPr>
            <w:tcW w:w="1209" w:type="dxa"/>
            <w:tcBorders>
              <w:top w:val="outset" w:color="auto" w:sz="6" w:space="0"/>
              <w:left w:val="outset" w:color="auto" w:sz="6" w:space="0"/>
              <w:bottom w:val="outset" w:color="auto" w:sz="6" w:space="0"/>
              <w:right w:val="outset" w:color="auto" w:sz="6" w:space="0"/>
            </w:tcBorders>
            <w:noWrap w:val="0"/>
            <w:vAlign w:val="center"/>
          </w:tcPr>
          <w:p w14:paraId="249A0875">
            <w:pPr>
              <w:shd w:val="clear" w:color="auto" w:fill="auto"/>
              <w:jc w:val="center"/>
              <w:rPr>
                <w:rFonts w:hint="eastAsia" w:ascii="宋体" w:hAnsi="宋体" w:eastAsia="宋体" w:cs="宋体"/>
                <w:color w:val="auto"/>
                <w:szCs w:val="21"/>
                <w:highlight w:val="none"/>
              </w:rPr>
            </w:pPr>
          </w:p>
        </w:tc>
        <w:tc>
          <w:tcPr>
            <w:tcW w:w="1154" w:type="dxa"/>
            <w:tcBorders>
              <w:top w:val="outset" w:color="auto" w:sz="6" w:space="0"/>
              <w:left w:val="outset" w:color="auto" w:sz="6" w:space="0"/>
              <w:bottom w:val="outset" w:color="auto" w:sz="6" w:space="0"/>
              <w:right w:val="outset" w:color="auto" w:sz="6" w:space="0"/>
            </w:tcBorders>
            <w:noWrap w:val="0"/>
            <w:vAlign w:val="center"/>
          </w:tcPr>
          <w:p w14:paraId="7FC24BDD">
            <w:pPr>
              <w:shd w:val="clear" w:color="auto" w:fill="auto"/>
              <w:jc w:val="center"/>
              <w:rPr>
                <w:rFonts w:hint="eastAsia" w:ascii="宋体" w:hAnsi="宋体" w:eastAsia="宋体" w:cs="宋体"/>
                <w:color w:val="auto"/>
                <w:szCs w:val="21"/>
                <w:highlight w:val="none"/>
              </w:rPr>
            </w:pPr>
          </w:p>
        </w:tc>
        <w:tc>
          <w:tcPr>
            <w:tcW w:w="1791" w:type="dxa"/>
            <w:tcBorders>
              <w:top w:val="outset" w:color="auto" w:sz="6" w:space="0"/>
              <w:left w:val="outset" w:color="auto" w:sz="6" w:space="0"/>
              <w:bottom w:val="outset" w:color="auto" w:sz="6" w:space="0"/>
              <w:right w:val="outset" w:color="auto" w:sz="6" w:space="0"/>
            </w:tcBorders>
            <w:noWrap w:val="0"/>
            <w:vAlign w:val="center"/>
          </w:tcPr>
          <w:p w14:paraId="4125286C">
            <w:pPr>
              <w:shd w:val="clear" w:color="auto" w:fill="auto"/>
              <w:jc w:val="center"/>
              <w:rPr>
                <w:rFonts w:hint="eastAsia" w:ascii="宋体" w:hAnsi="宋体" w:eastAsia="宋体" w:cs="宋体"/>
                <w:color w:val="auto"/>
                <w:szCs w:val="21"/>
                <w:highlight w:val="none"/>
              </w:rPr>
            </w:pPr>
          </w:p>
        </w:tc>
        <w:tc>
          <w:tcPr>
            <w:tcW w:w="692" w:type="dxa"/>
            <w:tcBorders>
              <w:top w:val="outset" w:color="auto" w:sz="6" w:space="0"/>
              <w:left w:val="outset" w:color="auto" w:sz="6" w:space="0"/>
              <w:bottom w:val="outset" w:color="auto" w:sz="6" w:space="0"/>
              <w:right w:val="outset" w:color="auto" w:sz="6" w:space="0"/>
            </w:tcBorders>
            <w:noWrap w:val="0"/>
            <w:vAlign w:val="center"/>
          </w:tcPr>
          <w:p w14:paraId="6EFF0B19">
            <w:pPr>
              <w:shd w:val="clear" w:color="auto" w:fill="auto"/>
              <w:jc w:val="center"/>
              <w:rPr>
                <w:rFonts w:hint="eastAsia" w:ascii="宋体" w:hAnsi="宋体" w:eastAsia="宋体" w:cs="宋体"/>
                <w:color w:val="auto"/>
                <w:szCs w:val="21"/>
                <w:highlight w:val="none"/>
              </w:rPr>
            </w:pPr>
          </w:p>
        </w:tc>
      </w:tr>
      <w:tr w14:paraId="5833A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4" w:type="dxa"/>
            <w:tcBorders>
              <w:top w:val="outset" w:color="auto" w:sz="6" w:space="0"/>
              <w:left w:val="outset" w:color="auto" w:sz="6" w:space="0"/>
              <w:bottom w:val="outset" w:color="auto" w:sz="6" w:space="0"/>
              <w:right w:val="outset" w:color="auto" w:sz="6" w:space="0"/>
            </w:tcBorders>
            <w:noWrap w:val="0"/>
            <w:vAlign w:val="center"/>
          </w:tcPr>
          <w:p w14:paraId="77078D07">
            <w:pPr>
              <w:shd w:val="clear" w:color="auto" w:fill="auto"/>
              <w:jc w:val="center"/>
              <w:rPr>
                <w:rFonts w:hint="eastAsia" w:ascii="宋体" w:hAnsi="宋体" w:eastAsia="宋体" w:cs="宋体"/>
                <w:color w:val="auto"/>
                <w:szCs w:val="21"/>
                <w:highlight w:val="none"/>
              </w:rPr>
            </w:pPr>
          </w:p>
        </w:tc>
        <w:tc>
          <w:tcPr>
            <w:tcW w:w="1846" w:type="dxa"/>
            <w:tcBorders>
              <w:top w:val="outset" w:color="auto" w:sz="6" w:space="0"/>
              <w:left w:val="outset" w:color="auto" w:sz="6" w:space="0"/>
              <w:bottom w:val="outset" w:color="auto" w:sz="6" w:space="0"/>
              <w:right w:val="outset" w:color="auto" w:sz="6" w:space="0"/>
            </w:tcBorders>
            <w:noWrap w:val="0"/>
            <w:vAlign w:val="center"/>
          </w:tcPr>
          <w:p w14:paraId="6A90788E">
            <w:pPr>
              <w:shd w:val="clear" w:color="auto" w:fill="auto"/>
              <w:jc w:val="center"/>
              <w:rPr>
                <w:rFonts w:hint="eastAsia" w:ascii="宋体" w:hAnsi="宋体" w:eastAsia="宋体" w:cs="宋体"/>
                <w:color w:val="auto"/>
                <w:szCs w:val="21"/>
                <w:highlight w:val="none"/>
              </w:rPr>
            </w:pPr>
          </w:p>
        </w:tc>
        <w:tc>
          <w:tcPr>
            <w:tcW w:w="1422" w:type="dxa"/>
            <w:tcBorders>
              <w:top w:val="outset" w:color="auto" w:sz="6" w:space="0"/>
              <w:left w:val="outset" w:color="auto" w:sz="6" w:space="0"/>
              <w:bottom w:val="outset" w:color="auto" w:sz="6" w:space="0"/>
              <w:right w:val="outset" w:color="auto" w:sz="6" w:space="0"/>
            </w:tcBorders>
            <w:noWrap w:val="0"/>
            <w:vAlign w:val="center"/>
          </w:tcPr>
          <w:p w14:paraId="7CEA5B3E">
            <w:pPr>
              <w:shd w:val="clear" w:color="auto" w:fill="auto"/>
              <w:jc w:val="center"/>
              <w:rPr>
                <w:rFonts w:hint="eastAsia" w:ascii="宋体" w:hAnsi="宋体" w:eastAsia="宋体" w:cs="宋体"/>
                <w:color w:val="auto"/>
                <w:szCs w:val="21"/>
                <w:highlight w:val="none"/>
              </w:rPr>
            </w:pPr>
          </w:p>
        </w:tc>
        <w:tc>
          <w:tcPr>
            <w:tcW w:w="710" w:type="dxa"/>
            <w:tcBorders>
              <w:top w:val="outset" w:color="auto" w:sz="6" w:space="0"/>
              <w:left w:val="outset" w:color="auto" w:sz="6" w:space="0"/>
              <w:bottom w:val="outset" w:color="auto" w:sz="6" w:space="0"/>
              <w:right w:val="outset" w:color="auto" w:sz="6" w:space="0"/>
            </w:tcBorders>
            <w:noWrap w:val="0"/>
            <w:vAlign w:val="center"/>
          </w:tcPr>
          <w:p w14:paraId="6C944E7F">
            <w:pPr>
              <w:shd w:val="clear" w:color="auto" w:fill="auto"/>
              <w:jc w:val="center"/>
              <w:rPr>
                <w:rFonts w:hint="eastAsia" w:ascii="宋体" w:hAnsi="宋体" w:eastAsia="宋体" w:cs="宋体"/>
                <w:color w:val="auto"/>
                <w:szCs w:val="21"/>
                <w:highlight w:val="none"/>
              </w:rPr>
            </w:pPr>
          </w:p>
        </w:tc>
        <w:tc>
          <w:tcPr>
            <w:tcW w:w="1209" w:type="dxa"/>
            <w:tcBorders>
              <w:top w:val="outset" w:color="auto" w:sz="6" w:space="0"/>
              <w:left w:val="outset" w:color="auto" w:sz="6" w:space="0"/>
              <w:bottom w:val="outset" w:color="auto" w:sz="6" w:space="0"/>
              <w:right w:val="outset" w:color="auto" w:sz="6" w:space="0"/>
            </w:tcBorders>
            <w:noWrap w:val="0"/>
            <w:vAlign w:val="center"/>
          </w:tcPr>
          <w:p w14:paraId="301571BD">
            <w:pPr>
              <w:shd w:val="clear" w:color="auto" w:fill="auto"/>
              <w:jc w:val="center"/>
              <w:rPr>
                <w:rFonts w:hint="eastAsia" w:ascii="宋体" w:hAnsi="宋体" w:eastAsia="宋体" w:cs="宋体"/>
                <w:color w:val="auto"/>
                <w:szCs w:val="21"/>
                <w:highlight w:val="none"/>
              </w:rPr>
            </w:pPr>
          </w:p>
        </w:tc>
        <w:tc>
          <w:tcPr>
            <w:tcW w:w="1154" w:type="dxa"/>
            <w:tcBorders>
              <w:top w:val="outset" w:color="auto" w:sz="6" w:space="0"/>
              <w:left w:val="outset" w:color="auto" w:sz="6" w:space="0"/>
              <w:bottom w:val="outset" w:color="auto" w:sz="6" w:space="0"/>
              <w:right w:val="outset" w:color="auto" w:sz="6" w:space="0"/>
            </w:tcBorders>
            <w:noWrap w:val="0"/>
            <w:vAlign w:val="center"/>
          </w:tcPr>
          <w:p w14:paraId="0A38039D">
            <w:pPr>
              <w:shd w:val="clear" w:color="auto" w:fill="auto"/>
              <w:jc w:val="center"/>
              <w:rPr>
                <w:rFonts w:hint="eastAsia" w:ascii="宋体" w:hAnsi="宋体" w:eastAsia="宋体" w:cs="宋体"/>
                <w:color w:val="auto"/>
                <w:szCs w:val="21"/>
                <w:highlight w:val="none"/>
              </w:rPr>
            </w:pPr>
          </w:p>
        </w:tc>
        <w:tc>
          <w:tcPr>
            <w:tcW w:w="1791" w:type="dxa"/>
            <w:tcBorders>
              <w:top w:val="outset" w:color="auto" w:sz="6" w:space="0"/>
              <w:left w:val="outset" w:color="auto" w:sz="6" w:space="0"/>
              <w:bottom w:val="outset" w:color="auto" w:sz="6" w:space="0"/>
              <w:right w:val="outset" w:color="auto" w:sz="6" w:space="0"/>
            </w:tcBorders>
            <w:noWrap w:val="0"/>
            <w:vAlign w:val="center"/>
          </w:tcPr>
          <w:p w14:paraId="5E1E65CA">
            <w:pPr>
              <w:shd w:val="clear" w:color="auto" w:fill="auto"/>
              <w:jc w:val="center"/>
              <w:rPr>
                <w:rFonts w:hint="eastAsia" w:ascii="宋体" w:hAnsi="宋体" w:eastAsia="宋体" w:cs="宋体"/>
                <w:color w:val="auto"/>
                <w:szCs w:val="21"/>
                <w:highlight w:val="none"/>
              </w:rPr>
            </w:pPr>
          </w:p>
        </w:tc>
        <w:tc>
          <w:tcPr>
            <w:tcW w:w="692" w:type="dxa"/>
            <w:tcBorders>
              <w:top w:val="outset" w:color="auto" w:sz="6" w:space="0"/>
              <w:left w:val="outset" w:color="auto" w:sz="6" w:space="0"/>
              <w:bottom w:val="outset" w:color="auto" w:sz="6" w:space="0"/>
              <w:right w:val="outset" w:color="auto" w:sz="6" w:space="0"/>
            </w:tcBorders>
            <w:noWrap w:val="0"/>
            <w:vAlign w:val="center"/>
          </w:tcPr>
          <w:p w14:paraId="2906F993">
            <w:pPr>
              <w:shd w:val="clear" w:color="auto" w:fill="auto"/>
              <w:jc w:val="center"/>
              <w:rPr>
                <w:rFonts w:hint="eastAsia" w:ascii="宋体" w:hAnsi="宋体" w:eastAsia="宋体" w:cs="宋体"/>
                <w:color w:val="auto"/>
                <w:szCs w:val="21"/>
                <w:highlight w:val="none"/>
              </w:rPr>
            </w:pPr>
          </w:p>
        </w:tc>
      </w:tr>
      <w:tr w14:paraId="05140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4" w:type="dxa"/>
            <w:tcBorders>
              <w:top w:val="outset" w:color="auto" w:sz="6" w:space="0"/>
              <w:left w:val="outset" w:color="auto" w:sz="6" w:space="0"/>
              <w:bottom w:val="outset" w:color="auto" w:sz="6" w:space="0"/>
              <w:right w:val="outset" w:color="auto" w:sz="6" w:space="0"/>
            </w:tcBorders>
            <w:noWrap w:val="0"/>
            <w:vAlign w:val="center"/>
          </w:tcPr>
          <w:p w14:paraId="43D7EFEE">
            <w:pPr>
              <w:shd w:val="clear" w:color="auto" w:fill="auto"/>
              <w:jc w:val="center"/>
              <w:rPr>
                <w:rFonts w:hint="eastAsia" w:ascii="宋体" w:hAnsi="宋体" w:eastAsia="宋体" w:cs="宋体"/>
                <w:color w:val="auto"/>
                <w:szCs w:val="21"/>
                <w:highlight w:val="none"/>
              </w:rPr>
            </w:pPr>
          </w:p>
        </w:tc>
        <w:tc>
          <w:tcPr>
            <w:tcW w:w="1846" w:type="dxa"/>
            <w:tcBorders>
              <w:top w:val="outset" w:color="auto" w:sz="6" w:space="0"/>
              <w:left w:val="outset" w:color="auto" w:sz="6" w:space="0"/>
              <w:bottom w:val="outset" w:color="auto" w:sz="6" w:space="0"/>
              <w:right w:val="outset" w:color="auto" w:sz="6" w:space="0"/>
            </w:tcBorders>
            <w:noWrap w:val="0"/>
            <w:vAlign w:val="center"/>
          </w:tcPr>
          <w:p w14:paraId="6E24E01B">
            <w:pPr>
              <w:shd w:val="clear" w:color="auto" w:fill="auto"/>
              <w:jc w:val="center"/>
              <w:rPr>
                <w:rFonts w:hint="eastAsia" w:ascii="宋体" w:hAnsi="宋体" w:eastAsia="宋体" w:cs="宋体"/>
                <w:color w:val="auto"/>
                <w:szCs w:val="21"/>
                <w:highlight w:val="none"/>
              </w:rPr>
            </w:pPr>
          </w:p>
        </w:tc>
        <w:tc>
          <w:tcPr>
            <w:tcW w:w="1422" w:type="dxa"/>
            <w:tcBorders>
              <w:top w:val="outset" w:color="auto" w:sz="6" w:space="0"/>
              <w:left w:val="outset" w:color="auto" w:sz="6" w:space="0"/>
              <w:bottom w:val="outset" w:color="auto" w:sz="6" w:space="0"/>
              <w:right w:val="outset" w:color="auto" w:sz="6" w:space="0"/>
            </w:tcBorders>
            <w:noWrap w:val="0"/>
            <w:vAlign w:val="center"/>
          </w:tcPr>
          <w:p w14:paraId="15C2F602">
            <w:pPr>
              <w:shd w:val="clear" w:color="auto" w:fill="auto"/>
              <w:jc w:val="center"/>
              <w:rPr>
                <w:rFonts w:hint="eastAsia" w:ascii="宋体" w:hAnsi="宋体" w:eastAsia="宋体" w:cs="宋体"/>
                <w:color w:val="auto"/>
                <w:szCs w:val="21"/>
                <w:highlight w:val="none"/>
              </w:rPr>
            </w:pPr>
          </w:p>
        </w:tc>
        <w:tc>
          <w:tcPr>
            <w:tcW w:w="710" w:type="dxa"/>
            <w:tcBorders>
              <w:top w:val="outset" w:color="auto" w:sz="6" w:space="0"/>
              <w:left w:val="outset" w:color="auto" w:sz="6" w:space="0"/>
              <w:bottom w:val="outset" w:color="auto" w:sz="6" w:space="0"/>
              <w:right w:val="outset" w:color="auto" w:sz="6" w:space="0"/>
            </w:tcBorders>
            <w:noWrap w:val="0"/>
            <w:vAlign w:val="center"/>
          </w:tcPr>
          <w:p w14:paraId="728B7954">
            <w:pPr>
              <w:shd w:val="clear" w:color="auto" w:fill="auto"/>
              <w:jc w:val="center"/>
              <w:rPr>
                <w:rFonts w:hint="eastAsia" w:ascii="宋体" w:hAnsi="宋体" w:eastAsia="宋体" w:cs="宋体"/>
                <w:color w:val="auto"/>
                <w:szCs w:val="21"/>
                <w:highlight w:val="none"/>
              </w:rPr>
            </w:pPr>
          </w:p>
        </w:tc>
        <w:tc>
          <w:tcPr>
            <w:tcW w:w="1209" w:type="dxa"/>
            <w:tcBorders>
              <w:top w:val="outset" w:color="auto" w:sz="6" w:space="0"/>
              <w:left w:val="outset" w:color="auto" w:sz="6" w:space="0"/>
              <w:bottom w:val="outset" w:color="auto" w:sz="6" w:space="0"/>
              <w:right w:val="outset" w:color="auto" w:sz="6" w:space="0"/>
            </w:tcBorders>
            <w:noWrap w:val="0"/>
            <w:vAlign w:val="center"/>
          </w:tcPr>
          <w:p w14:paraId="2917EFBD">
            <w:pPr>
              <w:shd w:val="clear" w:color="auto" w:fill="auto"/>
              <w:jc w:val="center"/>
              <w:rPr>
                <w:rFonts w:hint="eastAsia" w:ascii="宋体" w:hAnsi="宋体" w:eastAsia="宋体" w:cs="宋体"/>
                <w:color w:val="auto"/>
                <w:szCs w:val="21"/>
                <w:highlight w:val="none"/>
              </w:rPr>
            </w:pPr>
          </w:p>
        </w:tc>
        <w:tc>
          <w:tcPr>
            <w:tcW w:w="1154" w:type="dxa"/>
            <w:tcBorders>
              <w:top w:val="outset" w:color="auto" w:sz="6" w:space="0"/>
              <w:left w:val="outset" w:color="auto" w:sz="6" w:space="0"/>
              <w:bottom w:val="outset" w:color="auto" w:sz="6" w:space="0"/>
              <w:right w:val="outset" w:color="auto" w:sz="6" w:space="0"/>
            </w:tcBorders>
            <w:noWrap w:val="0"/>
            <w:vAlign w:val="center"/>
          </w:tcPr>
          <w:p w14:paraId="61B6A836">
            <w:pPr>
              <w:shd w:val="clear" w:color="auto" w:fill="auto"/>
              <w:jc w:val="center"/>
              <w:rPr>
                <w:rFonts w:hint="eastAsia" w:ascii="宋体" w:hAnsi="宋体" w:eastAsia="宋体" w:cs="宋体"/>
                <w:color w:val="auto"/>
                <w:szCs w:val="21"/>
                <w:highlight w:val="none"/>
              </w:rPr>
            </w:pPr>
          </w:p>
        </w:tc>
        <w:tc>
          <w:tcPr>
            <w:tcW w:w="1791" w:type="dxa"/>
            <w:tcBorders>
              <w:top w:val="outset" w:color="auto" w:sz="6" w:space="0"/>
              <w:left w:val="outset" w:color="auto" w:sz="6" w:space="0"/>
              <w:bottom w:val="outset" w:color="auto" w:sz="6" w:space="0"/>
              <w:right w:val="outset" w:color="auto" w:sz="6" w:space="0"/>
            </w:tcBorders>
            <w:noWrap w:val="0"/>
            <w:vAlign w:val="center"/>
          </w:tcPr>
          <w:p w14:paraId="7F66CF0C">
            <w:pPr>
              <w:shd w:val="clear" w:color="auto" w:fill="auto"/>
              <w:jc w:val="center"/>
              <w:rPr>
                <w:rFonts w:hint="eastAsia" w:ascii="宋体" w:hAnsi="宋体" w:eastAsia="宋体" w:cs="宋体"/>
                <w:color w:val="auto"/>
                <w:szCs w:val="21"/>
                <w:highlight w:val="none"/>
              </w:rPr>
            </w:pPr>
          </w:p>
        </w:tc>
        <w:tc>
          <w:tcPr>
            <w:tcW w:w="692" w:type="dxa"/>
            <w:tcBorders>
              <w:top w:val="outset" w:color="auto" w:sz="6" w:space="0"/>
              <w:left w:val="outset" w:color="auto" w:sz="6" w:space="0"/>
              <w:bottom w:val="outset" w:color="auto" w:sz="6" w:space="0"/>
              <w:right w:val="outset" w:color="auto" w:sz="6" w:space="0"/>
            </w:tcBorders>
            <w:noWrap w:val="0"/>
            <w:vAlign w:val="center"/>
          </w:tcPr>
          <w:p w14:paraId="2D396B04">
            <w:pPr>
              <w:shd w:val="clear" w:color="auto" w:fill="auto"/>
              <w:jc w:val="center"/>
              <w:rPr>
                <w:rFonts w:hint="eastAsia" w:ascii="宋体" w:hAnsi="宋体" w:eastAsia="宋体" w:cs="宋体"/>
                <w:color w:val="auto"/>
                <w:szCs w:val="21"/>
                <w:highlight w:val="none"/>
              </w:rPr>
            </w:pPr>
          </w:p>
        </w:tc>
      </w:tr>
      <w:tr w14:paraId="70DA2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4" w:type="dxa"/>
            <w:tcBorders>
              <w:top w:val="outset" w:color="auto" w:sz="6" w:space="0"/>
              <w:left w:val="outset" w:color="auto" w:sz="6" w:space="0"/>
              <w:bottom w:val="outset" w:color="auto" w:sz="6" w:space="0"/>
              <w:right w:val="outset" w:color="auto" w:sz="6" w:space="0"/>
            </w:tcBorders>
            <w:noWrap w:val="0"/>
            <w:vAlign w:val="center"/>
          </w:tcPr>
          <w:p w14:paraId="3149331D">
            <w:pPr>
              <w:shd w:val="clear" w:color="auto" w:fill="auto"/>
              <w:jc w:val="center"/>
              <w:rPr>
                <w:rFonts w:hint="eastAsia" w:ascii="宋体" w:hAnsi="宋体" w:eastAsia="宋体" w:cs="宋体"/>
                <w:color w:val="auto"/>
                <w:szCs w:val="21"/>
                <w:highlight w:val="none"/>
              </w:rPr>
            </w:pPr>
          </w:p>
        </w:tc>
        <w:tc>
          <w:tcPr>
            <w:tcW w:w="1846" w:type="dxa"/>
            <w:tcBorders>
              <w:top w:val="outset" w:color="auto" w:sz="6" w:space="0"/>
              <w:left w:val="outset" w:color="auto" w:sz="6" w:space="0"/>
              <w:bottom w:val="outset" w:color="auto" w:sz="6" w:space="0"/>
              <w:right w:val="outset" w:color="auto" w:sz="6" w:space="0"/>
            </w:tcBorders>
            <w:noWrap w:val="0"/>
            <w:vAlign w:val="center"/>
          </w:tcPr>
          <w:p w14:paraId="2E307210">
            <w:pPr>
              <w:shd w:val="clear" w:color="auto" w:fill="auto"/>
              <w:jc w:val="center"/>
              <w:rPr>
                <w:rFonts w:hint="eastAsia" w:ascii="宋体" w:hAnsi="宋体" w:eastAsia="宋体" w:cs="宋体"/>
                <w:color w:val="auto"/>
                <w:szCs w:val="21"/>
                <w:highlight w:val="none"/>
              </w:rPr>
            </w:pPr>
          </w:p>
        </w:tc>
        <w:tc>
          <w:tcPr>
            <w:tcW w:w="1422" w:type="dxa"/>
            <w:tcBorders>
              <w:top w:val="outset" w:color="auto" w:sz="6" w:space="0"/>
              <w:left w:val="outset" w:color="auto" w:sz="6" w:space="0"/>
              <w:bottom w:val="outset" w:color="auto" w:sz="6" w:space="0"/>
              <w:right w:val="outset" w:color="auto" w:sz="6" w:space="0"/>
            </w:tcBorders>
            <w:noWrap w:val="0"/>
            <w:vAlign w:val="center"/>
          </w:tcPr>
          <w:p w14:paraId="1A5C965A">
            <w:pPr>
              <w:shd w:val="clear" w:color="auto" w:fill="auto"/>
              <w:jc w:val="center"/>
              <w:rPr>
                <w:rFonts w:hint="eastAsia" w:ascii="宋体" w:hAnsi="宋体" w:eastAsia="宋体" w:cs="宋体"/>
                <w:color w:val="auto"/>
                <w:szCs w:val="21"/>
                <w:highlight w:val="none"/>
              </w:rPr>
            </w:pPr>
          </w:p>
        </w:tc>
        <w:tc>
          <w:tcPr>
            <w:tcW w:w="710" w:type="dxa"/>
            <w:tcBorders>
              <w:top w:val="outset" w:color="auto" w:sz="6" w:space="0"/>
              <w:left w:val="outset" w:color="auto" w:sz="6" w:space="0"/>
              <w:bottom w:val="outset" w:color="auto" w:sz="6" w:space="0"/>
              <w:right w:val="outset" w:color="auto" w:sz="6" w:space="0"/>
            </w:tcBorders>
            <w:noWrap w:val="0"/>
            <w:vAlign w:val="center"/>
          </w:tcPr>
          <w:p w14:paraId="205CA3D8">
            <w:pPr>
              <w:shd w:val="clear" w:color="auto" w:fill="auto"/>
              <w:jc w:val="center"/>
              <w:rPr>
                <w:rFonts w:hint="eastAsia" w:ascii="宋体" w:hAnsi="宋体" w:eastAsia="宋体" w:cs="宋体"/>
                <w:color w:val="auto"/>
                <w:szCs w:val="21"/>
                <w:highlight w:val="none"/>
              </w:rPr>
            </w:pPr>
          </w:p>
        </w:tc>
        <w:tc>
          <w:tcPr>
            <w:tcW w:w="1209" w:type="dxa"/>
            <w:tcBorders>
              <w:top w:val="outset" w:color="auto" w:sz="6" w:space="0"/>
              <w:left w:val="outset" w:color="auto" w:sz="6" w:space="0"/>
              <w:bottom w:val="outset" w:color="auto" w:sz="6" w:space="0"/>
              <w:right w:val="outset" w:color="auto" w:sz="6" w:space="0"/>
            </w:tcBorders>
            <w:noWrap w:val="0"/>
            <w:vAlign w:val="center"/>
          </w:tcPr>
          <w:p w14:paraId="2D7AA878">
            <w:pPr>
              <w:shd w:val="clear" w:color="auto" w:fill="auto"/>
              <w:jc w:val="center"/>
              <w:rPr>
                <w:rFonts w:hint="eastAsia" w:ascii="宋体" w:hAnsi="宋体" w:eastAsia="宋体" w:cs="宋体"/>
                <w:color w:val="auto"/>
                <w:szCs w:val="21"/>
                <w:highlight w:val="none"/>
              </w:rPr>
            </w:pPr>
          </w:p>
        </w:tc>
        <w:tc>
          <w:tcPr>
            <w:tcW w:w="1154" w:type="dxa"/>
            <w:tcBorders>
              <w:top w:val="outset" w:color="auto" w:sz="6" w:space="0"/>
              <w:left w:val="outset" w:color="auto" w:sz="6" w:space="0"/>
              <w:bottom w:val="outset" w:color="auto" w:sz="6" w:space="0"/>
              <w:right w:val="outset" w:color="auto" w:sz="6" w:space="0"/>
            </w:tcBorders>
            <w:noWrap w:val="0"/>
            <w:vAlign w:val="center"/>
          </w:tcPr>
          <w:p w14:paraId="2F2473CF">
            <w:pPr>
              <w:shd w:val="clear" w:color="auto" w:fill="auto"/>
              <w:jc w:val="center"/>
              <w:rPr>
                <w:rFonts w:hint="eastAsia" w:ascii="宋体" w:hAnsi="宋体" w:eastAsia="宋体" w:cs="宋体"/>
                <w:color w:val="auto"/>
                <w:szCs w:val="21"/>
                <w:highlight w:val="none"/>
              </w:rPr>
            </w:pPr>
          </w:p>
        </w:tc>
        <w:tc>
          <w:tcPr>
            <w:tcW w:w="1791" w:type="dxa"/>
            <w:tcBorders>
              <w:top w:val="outset" w:color="auto" w:sz="6" w:space="0"/>
              <w:left w:val="outset" w:color="auto" w:sz="6" w:space="0"/>
              <w:bottom w:val="outset" w:color="auto" w:sz="6" w:space="0"/>
              <w:right w:val="outset" w:color="auto" w:sz="6" w:space="0"/>
            </w:tcBorders>
            <w:noWrap w:val="0"/>
            <w:vAlign w:val="center"/>
          </w:tcPr>
          <w:p w14:paraId="23AFC4C6">
            <w:pPr>
              <w:shd w:val="clear" w:color="auto" w:fill="auto"/>
              <w:jc w:val="center"/>
              <w:rPr>
                <w:rFonts w:hint="eastAsia" w:ascii="宋体" w:hAnsi="宋体" w:eastAsia="宋体" w:cs="宋体"/>
                <w:color w:val="auto"/>
                <w:szCs w:val="21"/>
                <w:highlight w:val="none"/>
              </w:rPr>
            </w:pPr>
          </w:p>
        </w:tc>
        <w:tc>
          <w:tcPr>
            <w:tcW w:w="692" w:type="dxa"/>
            <w:tcBorders>
              <w:top w:val="outset" w:color="auto" w:sz="6" w:space="0"/>
              <w:left w:val="outset" w:color="auto" w:sz="6" w:space="0"/>
              <w:bottom w:val="outset" w:color="auto" w:sz="6" w:space="0"/>
              <w:right w:val="outset" w:color="auto" w:sz="6" w:space="0"/>
            </w:tcBorders>
            <w:noWrap w:val="0"/>
            <w:vAlign w:val="center"/>
          </w:tcPr>
          <w:p w14:paraId="7E4BBE83">
            <w:pPr>
              <w:shd w:val="clear" w:color="auto" w:fill="auto"/>
              <w:jc w:val="center"/>
              <w:rPr>
                <w:rFonts w:hint="eastAsia" w:ascii="宋体" w:hAnsi="宋体" w:eastAsia="宋体" w:cs="宋体"/>
                <w:color w:val="auto"/>
                <w:szCs w:val="21"/>
                <w:highlight w:val="none"/>
              </w:rPr>
            </w:pPr>
          </w:p>
        </w:tc>
      </w:tr>
      <w:tr w14:paraId="5D061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4" w:type="dxa"/>
            <w:tcBorders>
              <w:top w:val="outset" w:color="auto" w:sz="6" w:space="0"/>
              <w:left w:val="outset" w:color="auto" w:sz="6" w:space="0"/>
              <w:bottom w:val="outset" w:color="auto" w:sz="6" w:space="0"/>
              <w:right w:val="outset" w:color="auto" w:sz="6" w:space="0"/>
            </w:tcBorders>
            <w:noWrap w:val="0"/>
            <w:vAlign w:val="center"/>
          </w:tcPr>
          <w:p w14:paraId="38283B83">
            <w:pPr>
              <w:shd w:val="clear" w:color="auto" w:fill="auto"/>
              <w:jc w:val="center"/>
              <w:rPr>
                <w:rFonts w:hint="eastAsia" w:ascii="宋体" w:hAnsi="宋体" w:eastAsia="宋体" w:cs="宋体"/>
                <w:color w:val="auto"/>
                <w:szCs w:val="21"/>
                <w:highlight w:val="none"/>
              </w:rPr>
            </w:pPr>
          </w:p>
        </w:tc>
        <w:tc>
          <w:tcPr>
            <w:tcW w:w="1846" w:type="dxa"/>
            <w:tcBorders>
              <w:top w:val="outset" w:color="auto" w:sz="6" w:space="0"/>
              <w:left w:val="outset" w:color="auto" w:sz="6" w:space="0"/>
              <w:bottom w:val="outset" w:color="auto" w:sz="6" w:space="0"/>
              <w:right w:val="outset" w:color="auto" w:sz="6" w:space="0"/>
            </w:tcBorders>
            <w:noWrap w:val="0"/>
            <w:vAlign w:val="center"/>
          </w:tcPr>
          <w:p w14:paraId="193B8E1D">
            <w:pPr>
              <w:shd w:val="clear" w:color="auto" w:fill="auto"/>
              <w:jc w:val="center"/>
              <w:rPr>
                <w:rFonts w:hint="eastAsia" w:ascii="宋体" w:hAnsi="宋体" w:eastAsia="宋体" w:cs="宋体"/>
                <w:color w:val="auto"/>
                <w:szCs w:val="21"/>
                <w:highlight w:val="none"/>
              </w:rPr>
            </w:pPr>
          </w:p>
        </w:tc>
        <w:tc>
          <w:tcPr>
            <w:tcW w:w="1422" w:type="dxa"/>
            <w:tcBorders>
              <w:top w:val="outset" w:color="auto" w:sz="6" w:space="0"/>
              <w:left w:val="outset" w:color="auto" w:sz="6" w:space="0"/>
              <w:bottom w:val="outset" w:color="auto" w:sz="6" w:space="0"/>
              <w:right w:val="outset" w:color="auto" w:sz="6" w:space="0"/>
            </w:tcBorders>
            <w:noWrap w:val="0"/>
            <w:vAlign w:val="center"/>
          </w:tcPr>
          <w:p w14:paraId="401C9AB9">
            <w:pPr>
              <w:shd w:val="clear" w:color="auto" w:fill="auto"/>
              <w:jc w:val="center"/>
              <w:rPr>
                <w:rFonts w:hint="eastAsia" w:ascii="宋体" w:hAnsi="宋体" w:eastAsia="宋体" w:cs="宋体"/>
                <w:color w:val="auto"/>
                <w:szCs w:val="21"/>
                <w:highlight w:val="none"/>
              </w:rPr>
            </w:pPr>
          </w:p>
        </w:tc>
        <w:tc>
          <w:tcPr>
            <w:tcW w:w="710" w:type="dxa"/>
            <w:tcBorders>
              <w:top w:val="outset" w:color="auto" w:sz="6" w:space="0"/>
              <w:left w:val="outset" w:color="auto" w:sz="6" w:space="0"/>
              <w:bottom w:val="outset" w:color="auto" w:sz="6" w:space="0"/>
              <w:right w:val="outset" w:color="auto" w:sz="6" w:space="0"/>
            </w:tcBorders>
            <w:noWrap w:val="0"/>
            <w:vAlign w:val="center"/>
          </w:tcPr>
          <w:p w14:paraId="1F839749">
            <w:pPr>
              <w:shd w:val="clear" w:color="auto" w:fill="auto"/>
              <w:jc w:val="center"/>
              <w:rPr>
                <w:rFonts w:hint="eastAsia" w:ascii="宋体" w:hAnsi="宋体" w:eastAsia="宋体" w:cs="宋体"/>
                <w:color w:val="auto"/>
                <w:szCs w:val="21"/>
                <w:highlight w:val="none"/>
              </w:rPr>
            </w:pPr>
          </w:p>
        </w:tc>
        <w:tc>
          <w:tcPr>
            <w:tcW w:w="1209" w:type="dxa"/>
            <w:tcBorders>
              <w:top w:val="outset" w:color="auto" w:sz="6" w:space="0"/>
              <w:left w:val="outset" w:color="auto" w:sz="6" w:space="0"/>
              <w:bottom w:val="outset" w:color="auto" w:sz="6" w:space="0"/>
              <w:right w:val="outset" w:color="auto" w:sz="6" w:space="0"/>
            </w:tcBorders>
            <w:noWrap w:val="0"/>
            <w:vAlign w:val="center"/>
          </w:tcPr>
          <w:p w14:paraId="4CD8006A">
            <w:pPr>
              <w:shd w:val="clear" w:color="auto" w:fill="auto"/>
              <w:jc w:val="center"/>
              <w:rPr>
                <w:rFonts w:hint="eastAsia" w:ascii="宋体" w:hAnsi="宋体" w:eastAsia="宋体" w:cs="宋体"/>
                <w:color w:val="auto"/>
                <w:szCs w:val="21"/>
                <w:highlight w:val="none"/>
              </w:rPr>
            </w:pPr>
          </w:p>
        </w:tc>
        <w:tc>
          <w:tcPr>
            <w:tcW w:w="1154" w:type="dxa"/>
            <w:tcBorders>
              <w:top w:val="outset" w:color="auto" w:sz="6" w:space="0"/>
              <w:left w:val="outset" w:color="auto" w:sz="6" w:space="0"/>
              <w:bottom w:val="outset" w:color="auto" w:sz="6" w:space="0"/>
              <w:right w:val="outset" w:color="auto" w:sz="6" w:space="0"/>
            </w:tcBorders>
            <w:noWrap w:val="0"/>
            <w:vAlign w:val="center"/>
          </w:tcPr>
          <w:p w14:paraId="503BA902">
            <w:pPr>
              <w:shd w:val="clear" w:color="auto" w:fill="auto"/>
              <w:jc w:val="center"/>
              <w:rPr>
                <w:rFonts w:hint="eastAsia" w:ascii="宋体" w:hAnsi="宋体" w:eastAsia="宋体" w:cs="宋体"/>
                <w:color w:val="auto"/>
                <w:szCs w:val="21"/>
                <w:highlight w:val="none"/>
              </w:rPr>
            </w:pPr>
          </w:p>
        </w:tc>
        <w:tc>
          <w:tcPr>
            <w:tcW w:w="1791" w:type="dxa"/>
            <w:tcBorders>
              <w:top w:val="outset" w:color="auto" w:sz="6" w:space="0"/>
              <w:left w:val="outset" w:color="auto" w:sz="6" w:space="0"/>
              <w:bottom w:val="outset" w:color="auto" w:sz="6" w:space="0"/>
              <w:right w:val="outset" w:color="auto" w:sz="6" w:space="0"/>
            </w:tcBorders>
            <w:noWrap w:val="0"/>
            <w:vAlign w:val="center"/>
          </w:tcPr>
          <w:p w14:paraId="0FD00A7A">
            <w:pPr>
              <w:shd w:val="clear" w:color="auto" w:fill="auto"/>
              <w:jc w:val="center"/>
              <w:rPr>
                <w:rFonts w:hint="eastAsia" w:ascii="宋体" w:hAnsi="宋体" w:eastAsia="宋体" w:cs="宋体"/>
                <w:color w:val="auto"/>
                <w:szCs w:val="21"/>
                <w:highlight w:val="none"/>
              </w:rPr>
            </w:pPr>
          </w:p>
        </w:tc>
        <w:tc>
          <w:tcPr>
            <w:tcW w:w="692" w:type="dxa"/>
            <w:tcBorders>
              <w:top w:val="outset" w:color="auto" w:sz="6" w:space="0"/>
              <w:left w:val="outset" w:color="auto" w:sz="6" w:space="0"/>
              <w:bottom w:val="outset" w:color="auto" w:sz="6" w:space="0"/>
              <w:right w:val="outset" w:color="auto" w:sz="6" w:space="0"/>
            </w:tcBorders>
            <w:noWrap w:val="0"/>
            <w:vAlign w:val="center"/>
          </w:tcPr>
          <w:p w14:paraId="7E189943">
            <w:pPr>
              <w:shd w:val="clear" w:color="auto" w:fill="auto"/>
              <w:jc w:val="center"/>
              <w:rPr>
                <w:rFonts w:hint="eastAsia" w:ascii="宋体" w:hAnsi="宋体" w:eastAsia="宋体" w:cs="宋体"/>
                <w:color w:val="auto"/>
                <w:szCs w:val="21"/>
                <w:highlight w:val="none"/>
              </w:rPr>
            </w:pPr>
          </w:p>
        </w:tc>
      </w:tr>
      <w:tr w14:paraId="678F9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4" w:type="dxa"/>
            <w:tcBorders>
              <w:top w:val="outset" w:color="auto" w:sz="6" w:space="0"/>
              <w:left w:val="outset" w:color="auto" w:sz="6" w:space="0"/>
              <w:bottom w:val="outset" w:color="auto" w:sz="6" w:space="0"/>
              <w:right w:val="outset" w:color="auto" w:sz="6" w:space="0"/>
            </w:tcBorders>
            <w:noWrap w:val="0"/>
            <w:vAlign w:val="center"/>
          </w:tcPr>
          <w:p w14:paraId="63FC5757">
            <w:pPr>
              <w:shd w:val="clear" w:color="auto" w:fill="auto"/>
              <w:jc w:val="center"/>
              <w:rPr>
                <w:rFonts w:hint="eastAsia" w:ascii="宋体" w:hAnsi="宋体" w:eastAsia="宋体" w:cs="宋体"/>
                <w:color w:val="auto"/>
                <w:szCs w:val="21"/>
                <w:highlight w:val="none"/>
              </w:rPr>
            </w:pPr>
          </w:p>
        </w:tc>
        <w:tc>
          <w:tcPr>
            <w:tcW w:w="1846" w:type="dxa"/>
            <w:tcBorders>
              <w:top w:val="outset" w:color="auto" w:sz="6" w:space="0"/>
              <w:left w:val="outset" w:color="auto" w:sz="6" w:space="0"/>
              <w:bottom w:val="outset" w:color="auto" w:sz="6" w:space="0"/>
              <w:right w:val="outset" w:color="auto" w:sz="6" w:space="0"/>
            </w:tcBorders>
            <w:noWrap w:val="0"/>
            <w:vAlign w:val="center"/>
          </w:tcPr>
          <w:p w14:paraId="3DA1A015">
            <w:pPr>
              <w:shd w:val="clear" w:color="auto" w:fill="auto"/>
              <w:jc w:val="center"/>
              <w:rPr>
                <w:rFonts w:hint="eastAsia" w:ascii="宋体" w:hAnsi="宋体" w:eastAsia="宋体" w:cs="宋体"/>
                <w:color w:val="auto"/>
                <w:szCs w:val="21"/>
                <w:highlight w:val="none"/>
              </w:rPr>
            </w:pPr>
          </w:p>
        </w:tc>
        <w:tc>
          <w:tcPr>
            <w:tcW w:w="1422" w:type="dxa"/>
            <w:tcBorders>
              <w:top w:val="outset" w:color="auto" w:sz="6" w:space="0"/>
              <w:left w:val="outset" w:color="auto" w:sz="6" w:space="0"/>
              <w:bottom w:val="outset" w:color="auto" w:sz="6" w:space="0"/>
              <w:right w:val="outset" w:color="auto" w:sz="6" w:space="0"/>
            </w:tcBorders>
            <w:noWrap w:val="0"/>
            <w:vAlign w:val="center"/>
          </w:tcPr>
          <w:p w14:paraId="304C9289">
            <w:pPr>
              <w:shd w:val="clear" w:color="auto" w:fill="auto"/>
              <w:jc w:val="center"/>
              <w:rPr>
                <w:rFonts w:hint="eastAsia" w:ascii="宋体" w:hAnsi="宋体" w:eastAsia="宋体" w:cs="宋体"/>
                <w:color w:val="auto"/>
                <w:szCs w:val="21"/>
                <w:highlight w:val="none"/>
              </w:rPr>
            </w:pPr>
          </w:p>
        </w:tc>
        <w:tc>
          <w:tcPr>
            <w:tcW w:w="710" w:type="dxa"/>
            <w:tcBorders>
              <w:top w:val="outset" w:color="auto" w:sz="6" w:space="0"/>
              <w:left w:val="outset" w:color="auto" w:sz="6" w:space="0"/>
              <w:bottom w:val="outset" w:color="auto" w:sz="6" w:space="0"/>
              <w:right w:val="outset" w:color="auto" w:sz="6" w:space="0"/>
            </w:tcBorders>
            <w:noWrap w:val="0"/>
            <w:vAlign w:val="center"/>
          </w:tcPr>
          <w:p w14:paraId="7C6EDC51">
            <w:pPr>
              <w:shd w:val="clear" w:color="auto" w:fill="auto"/>
              <w:jc w:val="center"/>
              <w:rPr>
                <w:rFonts w:hint="eastAsia" w:ascii="宋体" w:hAnsi="宋体" w:eastAsia="宋体" w:cs="宋体"/>
                <w:color w:val="auto"/>
                <w:szCs w:val="21"/>
                <w:highlight w:val="none"/>
              </w:rPr>
            </w:pPr>
          </w:p>
        </w:tc>
        <w:tc>
          <w:tcPr>
            <w:tcW w:w="1209" w:type="dxa"/>
            <w:tcBorders>
              <w:top w:val="outset" w:color="auto" w:sz="6" w:space="0"/>
              <w:left w:val="outset" w:color="auto" w:sz="6" w:space="0"/>
              <w:bottom w:val="outset" w:color="auto" w:sz="6" w:space="0"/>
              <w:right w:val="outset" w:color="auto" w:sz="6" w:space="0"/>
            </w:tcBorders>
            <w:noWrap w:val="0"/>
            <w:vAlign w:val="center"/>
          </w:tcPr>
          <w:p w14:paraId="552EDA10">
            <w:pPr>
              <w:shd w:val="clear" w:color="auto" w:fill="auto"/>
              <w:jc w:val="center"/>
              <w:rPr>
                <w:rFonts w:hint="eastAsia" w:ascii="宋体" w:hAnsi="宋体" w:eastAsia="宋体" w:cs="宋体"/>
                <w:color w:val="auto"/>
                <w:szCs w:val="21"/>
                <w:highlight w:val="none"/>
              </w:rPr>
            </w:pPr>
          </w:p>
        </w:tc>
        <w:tc>
          <w:tcPr>
            <w:tcW w:w="1154" w:type="dxa"/>
            <w:tcBorders>
              <w:top w:val="outset" w:color="auto" w:sz="6" w:space="0"/>
              <w:left w:val="outset" w:color="auto" w:sz="6" w:space="0"/>
              <w:bottom w:val="outset" w:color="auto" w:sz="6" w:space="0"/>
              <w:right w:val="outset" w:color="auto" w:sz="6" w:space="0"/>
            </w:tcBorders>
            <w:noWrap w:val="0"/>
            <w:vAlign w:val="center"/>
          </w:tcPr>
          <w:p w14:paraId="76428907">
            <w:pPr>
              <w:shd w:val="clear" w:color="auto" w:fill="auto"/>
              <w:jc w:val="center"/>
              <w:rPr>
                <w:rFonts w:hint="eastAsia" w:ascii="宋体" w:hAnsi="宋体" w:eastAsia="宋体" w:cs="宋体"/>
                <w:color w:val="auto"/>
                <w:szCs w:val="21"/>
                <w:highlight w:val="none"/>
              </w:rPr>
            </w:pPr>
          </w:p>
        </w:tc>
        <w:tc>
          <w:tcPr>
            <w:tcW w:w="1791" w:type="dxa"/>
            <w:tcBorders>
              <w:top w:val="outset" w:color="auto" w:sz="6" w:space="0"/>
              <w:left w:val="outset" w:color="auto" w:sz="6" w:space="0"/>
              <w:bottom w:val="outset" w:color="auto" w:sz="6" w:space="0"/>
              <w:right w:val="outset" w:color="auto" w:sz="6" w:space="0"/>
            </w:tcBorders>
            <w:noWrap w:val="0"/>
            <w:vAlign w:val="center"/>
          </w:tcPr>
          <w:p w14:paraId="48F8C326">
            <w:pPr>
              <w:shd w:val="clear" w:color="auto" w:fill="auto"/>
              <w:jc w:val="center"/>
              <w:rPr>
                <w:rFonts w:hint="eastAsia" w:ascii="宋体" w:hAnsi="宋体" w:eastAsia="宋体" w:cs="宋体"/>
                <w:color w:val="auto"/>
                <w:szCs w:val="21"/>
                <w:highlight w:val="none"/>
              </w:rPr>
            </w:pPr>
          </w:p>
        </w:tc>
        <w:tc>
          <w:tcPr>
            <w:tcW w:w="692" w:type="dxa"/>
            <w:tcBorders>
              <w:top w:val="outset" w:color="auto" w:sz="6" w:space="0"/>
              <w:left w:val="outset" w:color="auto" w:sz="6" w:space="0"/>
              <w:bottom w:val="outset" w:color="auto" w:sz="6" w:space="0"/>
              <w:right w:val="outset" w:color="auto" w:sz="6" w:space="0"/>
            </w:tcBorders>
            <w:noWrap w:val="0"/>
            <w:vAlign w:val="center"/>
          </w:tcPr>
          <w:p w14:paraId="57907A91">
            <w:pPr>
              <w:shd w:val="clear" w:color="auto" w:fill="auto"/>
              <w:jc w:val="center"/>
              <w:rPr>
                <w:rFonts w:hint="eastAsia" w:ascii="宋体" w:hAnsi="宋体" w:eastAsia="宋体" w:cs="宋体"/>
                <w:color w:val="auto"/>
                <w:szCs w:val="21"/>
                <w:highlight w:val="none"/>
              </w:rPr>
            </w:pPr>
          </w:p>
        </w:tc>
      </w:tr>
      <w:tr w14:paraId="01DBE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4" w:type="dxa"/>
            <w:tcBorders>
              <w:top w:val="outset" w:color="auto" w:sz="6" w:space="0"/>
              <w:left w:val="outset" w:color="auto" w:sz="6" w:space="0"/>
              <w:bottom w:val="outset" w:color="auto" w:sz="6" w:space="0"/>
              <w:right w:val="outset" w:color="auto" w:sz="6" w:space="0"/>
            </w:tcBorders>
            <w:noWrap w:val="0"/>
            <w:vAlign w:val="center"/>
          </w:tcPr>
          <w:p w14:paraId="34B11EE3">
            <w:pPr>
              <w:shd w:val="clear" w:color="auto" w:fill="auto"/>
              <w:jc w:val="center"/>
              <w:rPr>
                <w:rFonts w:hint="eastAsia" w:ascii="宋体" w:hAnsi="宋体" w:eastAsia="宋体" w:cs="宋体"/>
                <w:color w:val="auto"/>
                <w:szCs w:val="21"/>
                <w:highlight w:val="none"/>
              </w:rPr>
            </w:pPr>
          </w:p>
        </w:tc>
        <w:tc>
          <w:tcPr>
            <w:tcW w:w="1846" w:type="dxa"/>
            <w:tcBorders>
              <w:top w:val="outset" w:color="auto" w:sz="6" w:space="0"/>
              <w:left w:val="outset" w:color="auto" w:sz="6" w:space="0"/>
              <w:bottom w:val="outset" w:color="auto" w:sz="6" w:space="0"/>
              <w:right w:val="outset" w:color="auto" w:sz="6" w:space="0"/>
            </w:tcBorders>
            <w:noWrap w:val="0"/>
            <w:vAlign w:val="center"/>
          </w:tcPr>
          <w:p w14:paraId="072C5A72">
            <w:pPr>
              <w:shd w:val="clear" w:color="auto" w:fill="auto"/>
              <w:jc w:val="center"/>
              <w:rPr>
                <w:rFonts w:hint="eastAsia" w:ascii="宋体" w:hAnsi="宋体" w:eastAsia="宋体" w:cs="宋体"/>
                <w:color w:val="auto"/>
                <w:szCs w:val="21"/>
                <w:highlight w:val="none"/>
              </w:rPr>
            </w:pPr>
          </w:p>
        </w:tc>
        <w:tc>
          <w:tcPr>
            <w:tcW w:w="1422" w:type="dxa"/>
            <w:tcBorders>
              <w:top w:val="outset" w:color="auto" w:sz="6" w:space="0"/>
              <w:left w:val="outset" w:color="auto" w:sz="6" w:space="0"/>
              <w:bottom w:val="outset" w:color="auto" w:sz="6" w:space="0"/>
              <w:right w:val="outset" w:color="auto" w:sz="6" w:space="0"/>
            </w:tcBorders>
            <w:noWrap w:val="0"/>
            <w:vAlign w:val="center"/>
          </w:tcPr>
          <w:p w14:paraId="19F2E4D5">
            <w:pPr>
              <w:shd w:val="clear" w:color="auto" w:fill="auto"/>
              <w:jc w:val="center"/>
              <w:rPr>
                <w:rFonts w:hint="eastAsia" w:ascii="宋体" w:hAnsi="宋体" w:eastAsia="宋体" w:cs="宋体"/>
                <w:color w:val="auto"/>
                <w:szCs w:val="21"/>
                <w:highlight w:val="none"/>
              </w:rPr>
            </w:pPr>
          </w:p>
        </w:tc>
        <w:tc>
          <w:tcPr>
            <w:tcW w:w="710" w:type="dxa"/>
            <w:tcBorders>
              <w:top w:val="outset" w:color="auto" w:sz="6" w:space="0"/>
              <w:left w:val="outset" w:color="auto" w:sz="6" w:space="0"/>
              <w:bottom w:val="outset" w:color="auto" w:sz="6" w:space="0"/>
              <w:right w:val="outset" w:color="auto" w:sz="6" w:space="0"/>
            </w:tcBorders>
            <w:noWrap w:val="0"/>
            <w:vAlign w:val="center"/>
          </w:tcPr>
          <w:p w14:paraId="3E8A3557">
            <w:pPr>
              <w:shd w:val="clear" w:color="auto" w:fill="auto"/>
              <w:jc w:val="center"/>
              <w:rPr>
                <w:rFonts w:hint="eastAsia" w:ascii="宋体" w:hAnsi="宋体" w:eastAsia="宋体" w:cs="宋体"/>
                <w:color w:val="auto"/>
                <w:szCs w:val="21"/>
                <w:highlight w:val="none"/>
              </w:rPr>
            </w:pPr>
          </w:p>
        </w:tc>
        <w:tc>
          <w:tcPr>
            <w:tcW w:w="1209" w:type="dxa"/>
            <w:tcBorders>
              <w:top w:val="outset" w:color="auto" w:sz="6" w:space="0"/>
              <w:left w:val="outset" w:color="auto" w:sz="6" w:space="0"/>
              <w:bottom w:val="outset" w:color="auto" w:sz="6" w:space="0"/>
              <w:right w:val="outset" w:color="auto" w:sz="6" w:space="0"/>
            </w:tcBorders>
            <w:noWrap w:val="0"/>
            <w:vAlign w:val="center"/>
          </w:tcPr>
          <w:p w14:paraId="7E19DAEC">
            <w:pPr>
              <w:shd w:val="clear" w:color="auto" w:fill="auto"/>
              <w:jc w:val="center"/>
              <w:rPr>
                <w:rFonts w:hint="eastAsia" w:ascii="宋体" w:hAnsi="宋体" w:eastAsia="宋体" w:cs="宋体"/>
                <w:color w:val="auto"/>
                <w:szCs w:val="21"/>
                <w:highlight w:val="none"/>
              </w:rPr>
            </w:pPr>
          </w:p>
        </w:tc>
        <w:tc>
          <w:tcPr>
            <w:tcW w:w="1154" w:type="dxa"/>
            <w:tcBorders>
              <w:top w:val="outset" w:color="auto" w:sz="6" w:space="0"/>
              <w:left w:val="outset" w:color="auto" w:sz="6" w:space="0"/>
              <w:bottom w:val="outset" w:color="auto" w:sz="6" w:space="0"/>
              <w:right w:val="outset" w:color="auto" w:sz="6" w:space="0"/>
            </w:tcBorders>
            <w:noWrap w:val="0"/>
            <w:vAlign w:val="center"/>
          </w:tcPr>
          <w:p w14:paraId="56F0BF81">
            <w:pPr>
              <w:shd w:val="clear" w:color="auto" w:fill="auto"/>
              <w:jc w:val="center"/>
              <w:rPr>
                <w:rFonts w:hint="eastAsia" w:ascii="宋体" w:hAnsi="宋体" w:eastAsia="宋体" w:cs="宋体"/>
                <w:color w:val="auto"/>
                <w:szCs w:val="21"/>
                <w:highlight w:val="none"/>
              </w:rPr>
            </w:pPr>
          </w:p>
        </w:tc>
        <w:tc>
          <w:tcPr>
            <w:tcW w:w="1791" w:type="dxa"/>
            <w:tcBorders>
              <w:top w:val="outset" w:color="auto" w:sz="6" w:space="0"/>
              <w:left w:val="outset" w:color="auto" w:sz="6" w:space="0"/>
              <w:bottom w:val="outset" w:color="auto" w:sz="6" w:space="0"/>
              <w:right w:val="outset" w:color="auto" w:sz="6" w:space="0"/>
            </w:tcBorders>
            <w:noWrap w:val="0"/>
            <w:vAlign w:val="center"/>
          </w:tcPr>
          <w:p w14:paraId="71C2CFCB">
            <w:pPr>
              <w:shd w:val="clear" w:color="auto" w:fill="auto"/>
              <w:jc w:val="center"/>
              <w:rPr>
                <w:rFonts w:hint="eastAsia" w:ascii="宋体" w:hAnsi="宋体" w:eastAsia="宋体" w:cs="宋体"/>
                <w:color w:val="auto"/>
                <w:szCs w:val="21"/>
                <w:highlight w:val="none"/>
              </w:rPr>
            </w:pPr>
          </w:p>
        </w:tc>
        <w:tc>
          <w:tcPr>
            <w:tcW w:w="692" w:type="dxa"/>
            <w:tcBorders>
              <w:top w:val="outset" w:color="auto" w:sz="6" w:space="0"/>
              <w:left w:val="outset" w:color="auto" w:sz="6" w:space="0"/>
              <w:bottom w:val="outset" w:color="auto" w:sz="6" w:space="0"/>
              <w:right w:val="outset" w:color="auto" w:sz="6" w:space="0"/>
            </w:tcBorders>
            <w:noWrap w:val="0"/>
            <w:vAlign w:val="center"/>
          </w:tcPr>
          <w:p w14:paraId="3AC79AC7">
            <w:pPr>
              <w:shd w:val="clear" w:color="auto" w:fill="auto"/>
              <w:jc w:val="center"/>
              <w:rPr>
                <w:rFonts w:hint="eastAsia" w:ascii="宋体" w:hAnsi="宋体" w:eastAsia="宋体" w:cs="宋体"/>
                <w:color w:val="auto"/>
                <w:szCs w:val="21"/>
                <w:highlight w:val="none"/>
              </w:rPr>
            </w:pPr>
          </w:p>
        </w:tc>
      </w:tr>
    </w:tbl>
    <w:p w14:paraId="120FB534">
      <w:pPr>
        <w:spacing w:line="360" w:lineRule="auto"/>
        <w:jc w:val="both"/>
        <w:rPr>
          <w:rFonts w:hint="eastAsia" w:ascii="宋体" w:hAnsi="宋体" w:eastAsia="宋体" w:cs="宋体"/>
          <w:b/>
          <w:color w:val="auto"/>
          <w:szCs w:val="21"/>
          <w:highlight w:val="none"/>
        </w:rPr>
      </w:pPr>
    </w:p>
    <w:p w14:paraId="0BBC99DC">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磋商供应商全称（盖章）：</w:t>
      </w:r>
    </w:p>
    <w:p w14:paraId="22C24A3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法定代表人或者授权代表（签字或盖章）：                    </w:t>
      </w:r>
    </w:p>
    <w:p w14:paraId="0DB0550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799798BA">
      <w:pPr>
        <w:spacing w:line="360" w:lineRule="auto"/>
        <w:jc w:val="both"/>
        <w:rPr>
          <w:rFonts w:hint="eastAsia" w:ascii="宋体" w:hAnsi="宋体" w:eastAsia="宋体" w:cs="宋体"/>
          <w:b/>
          <w:color w:val="auto"/>
          <w:szCs w:val="21"/>
          <w:highlight w:val="none"/>
        </w:rPr>
      </w:pPr>
    </w:p>
    <w:p w14:paraId="3B5D9A2B">
      <w:pPr>
        <w:rPr>
          <w:rFonts w:hint="eastAsia" w:ascii="宋体" w:hAnsi="宋体" w:eastAsia="宋体" w:cs="宋体"/>
          <w:color w:val="auto"/>
          <w:highlight w:val="none"/>
        </w:rPr>
      </w:pPr>
      <w:r>
        <w:rPr>
          <w:rFonts w:hint="eastAsia" w:ascii="宋体" w:hAnsi="宋体" w:eastAsia="宋体" w:cs="宋体"/>
          <w:color w:val="auto"/>
          <w:szCs w:val="21"/>
          <w:highlight w:val="none"/>
        </w:rPr>
        <w:t>注：</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highlight w:val="none"/>
        </w:rPr>
        <w:t>应随此表附上相关的证明。</w:t>
      </w:r>
    </w:p>
    <w:p w14:paraId="05CC4CD9">
      <w:pPr>
        <w:spacing w:line="360" w:lineRule="auto"/>
        <w:jc w:val="both"/>
        <w:rPr>
          <w:rFonts w:hint="eastAsia" w:ascii="宋体" w:hAnsi="宋体" w:eastAsia="宋体" w:cs="宋体"/>
          <w:b/>
          <w:color w:val="auto"/>
          <w:szCs w:val="21"/>
          <w:highlight w:val="none"/>
        </w:rPr>
      </w:pPr>
    </w:p>
    <w:p w14:paraId="493820E1">
      <w:pPr>
        <w:spacing w:line="360" w:lineRule="auto"/>
        <w:jc w:val="center"/>
        <w:rPr>
          <w:rFonts w:hint="eastAsia" w:ascii="宋体" w:hAnsi="宋体" w:eastAsia="宋体" w:cs="宋体"/>
          <w:b/>
          <w:color w:val="auto"/>
          <w:szCs w:val="21"/>
          <w:highlight w:val="none"/>
        </w:rPr>
      </w:pPr>
    </w:p>
    <w:p w14:paraId="30FB2BA0">
      <w:pPr>
        <w:spacing w:line="360" w:lineRule="auto"/>
        <w:jc w:val="center"/>
        <w:rPr>
          <w:rFonts w:hint="eastAsia" w:ascii="宋体" w:hAnsi="宋体" w:eastAsia="宋体" w:cs="宋体"/>
          <w:b/>
          <w:color w:val="auto"/>
          <w:szCs w:val="21"/>
          <w:highlight w:val="none"/>
        </w:rPr>
      </w:pPr>
    </w:p>
    <w:p w14:paraId="085A753A">
      <w:pPr>
        <w:spacing w:line="360" w:lineRule="auto"/>
        <w:jc w:val="center"/>
        <w:rPr>
          <w:rFonts w:hint="eastAsia" w:ascii="宋体" w:hAnsi="宋体" w:eastAsia="宋体" w:cs="宋体"/>
          <w:b/>
          <w:color w:val="auto"/>
          <w:szCs w:val="21"/>
          <w:highlight w:val="none"/>
        </w:rPr>
      </w:pPr>
    </w:p>
    <w:p w14:paraId="3264EC32">
      <w:pPr>
        <w:spacing w:line="360" w:lineRule="auto"/>
        <w:jc w:val="center"/>
        <w:rPr>
          <w:rFonts w:hint="eastAsia" w:ascii="宋体" w:hAnsi="宋体" w:eastAsia="宋体" w:cs="宋体"/>
          <w:b/>
          <w:color w:val="auto"/>
          <w:szCs w:val="21"/>
          <w:highlight w:val="none"/>
        </w:rPr>
      </w:pPr>
    </w:p>
    <w:p w14:paraId="0131C217">
      <w:pPr>
        <w:spacing w:line="360" w:lineRule="auto"/>
        <w:jc w:val="center"/>
        <w:rPr>
          <w:rFonts w:hint="eastAsia" w:ascii="宋体" w:hAnsi="宋体" w:eastAsia="宋体" w:cs="宋体"/>
          <w:b/>
          <w:color w:val="auto"/>
          <w:szCs w:val="21"/>
          <w:highlight w:val="none"/>
        </w:rPr>
      </w:pPr>
    </w:p>
    <w:p w14:paraId="354B2925">
      <w:pPr>
        <w:spacing w:line="360" w:lineRule="auto"/>
        <w:jc w:val="center"/>
        <w:rPr>
          <w:rFonts w:hint="eastAsia" w:ascii="宋体" w:hAnsi="宋体" w:eastAsia="宋体" w:cs="宋体"/>
          <w:b/>
          <w:color w:val="auto"/>
          <w:szCs w:val="21"/>
          <w:highlight w:val="none"/>
        </w:rPr>
      </w:pPr>
    </w:p>
    <w:p w14:paraId="29BBDFF0">
      <w:pPr>
        <w:spacing w:line="360" w:lineRule="auto"/>
        <w:jc w:val="center"/>
        <w:rPr>
          <w:rFonts w:hint="eastAsia" w:ascii="宋体" w:hAnsi="宋体" w:eastAsia="宋体" w:cs="宋体"/>
          <w:b/>
          <w:color w:val="auto"/>
          <w:szCs w:val="21"/>
          <w:highlight w:val="none"/>
        </w:rPr>
      </w:pPr>
    </w:p>
    <w:p w14:paraId="5AE26BC3">
      <w:pPr>
        <w:spacing w:line="360" w:lineRule="auto"/>
        <w:jc w:val="both"/>
        <w:rPr>
          <w:rFonts w:hint="eastAsia" w:ascii="宋体" w:hAnsi="宋体" w:eastAsia="宋体" w:cs="宋体"/>
          <w:b/>
          <w:color w:val="auto"/>
          <w:szCs w:val="21"/>
          <w:highlight w:val="none"/>
        </w:rPr>
      </w:pPr>
    </w:p>
    <w:p w14:paraId="32D621E1">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九、</w:t>
      </w:r>
      <w:r>
        <w:rPr>
          <w:rFonts w:hint="eastAsia" w:ascii="宋体" w:hAnsi="宋体" w:eastAsia="宋体" w:cs="宋体"/>
          <w:b/>
          <w:color w:val="auto"/>
          <w:szCs w:val="21"/>
          <w:highlight w:val="none"/>
        </w:rPr>
        <w:t>类似业绩一览表</w:t>
      </w:r>
    </w:p>
    <w:p w14:paraId="244F82B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p w14:paraId="5ED1D77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p>
    <w:tbl>
      <w:tblPr>
        <w:tblStyle w:val="33"/>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3"/>
        <w:gridCol w:w="803"/>
        <w:gridCol w:w="803"/>
        <w:gridCol w:w="802"/>
        <w:gridCol w:w="803"/>
        <w:gridCol w:w="803"/>
        <w:gridCol w:w="803"/>
        <w:gridCol w:w="803"/>
        <w:gridCol w:w="803"/>
        <w:gridCol w:w="803"/>
        <w:gridCol w:w="803"/>
        <w:gridCol w:w="806"/>
      </w:tblGrid>
      <w:tr w14:paraId="682FA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9618" w:type="dxa"/>
            <w:gridSpan w:val="12"/>
            <w:tcBorders>
              <w:top w:val="single" w:color="000000" w:sz="4" w:space="0"/>
              <w:left w:val="single" w:color="000000" w:sz="4" w:space="0"/>
              <w:bottom w:val="single" w:color="000000" w:sz="4" w:space="0"/>
              <w:right w:val="single" w:color="000000" w:sz="4" w:space="0"/>
            </w:tcBorders>
            <w:noWrap w:val="0"/>
            <w:vAlign w:val="center"/>
          </w:tcPr>
          <w:p w14:paraId="74B6EA11">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企业近年完成的类似监理项目情况</w:t>
            </w:r>
          </w:p>
        </w:tc>
      </w:tr>
      <w:tr w14:paraId="6A315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14:paraId="38CDFD28">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序号</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0D023528">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w:t>
            </w:r>
          </w:p>
          <w:p w14:paraId="380C500B">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7899FF23">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工程地点</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E55CBC4">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w:t>
            </w:r>
          </w:p>
          <w:p w14:paraId="717F3D73">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规模</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3836140">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总投资</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8B3DF4C">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w:t>
            </w:r>
          </w:p>
          <w:p w14:paraId="65D231CF">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w:t>
            </w:r>
          </w:p>
          <w:p w14:paraId="779ED63E">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范围</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D8F6AB6">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监理合同金额</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1A26073">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w:t>
            </w:r>
          </w:p>
          <w:p w14:paraId="2CF166A1">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服务期限</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A8DDDF9">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竣工日期</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AB7400E">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w:t>
            </w:r>
          </w:p>
          <w:p w14:paraId="176619D3">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总监</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A1B1C7E">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奖惩情况</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8037A1D">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0059E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top"/>
          </w:tcPr>
          <w:p w14:paraId="51481F3C">
            <w:pPr>
              <w:shd w:val="clear" w:color="auto" w:fill="auto"/>
              <w:spacing w:line="440" w:lineRule="exact"/>
              <w:jc w:val="center"/>
              <w:rPr>
                <w:rFonts w:hint="eastAsia" w:ascii="宋体" w:hAnsi="宋体" w:eastAsia="宋体" w:cs="宋体"/>
                <w:color w:val="auto"/>
                <w:sz w:val="23"/>
                <w:highlight w:val="none"/>
              </w:rPr>
            </w:pPr>
          </w:p>
        </w:tc>
        <w:tc>
          <w:tcPr>
            <w:tcW w:w="802" w:type="dxa"/>
            <w:tcBorders>
              <w:top w:val="single" w:color="000000" w:sz="4" w:space="0"/>
              <w:left w:val="single" w:color="000000" w:sz="4" w:space="0"/>
              <w:bottom w:val="single" w:color="000000" w:sz="4" w:space="0"/>
              <w:right w:val="single" w:color="000000" w:sz="4" w:space="0"/>
            </w:tcBorders>
            <w:noWrap w:val="0"/>
            <w:vAlign w:val="top"/>
          </w:tcPr>
          <w:p w14:paraId="6078500F">
            <w:pPr>
              <w:shd w:val="clear" w:color="auto" w:fill="auto"/>
              <w:spacing w:line="440" w:lineRule="exact"/>
              <w:jc w:val="center"/>
              <w:rPr>
                <w:rFonts w:hint="eastAsia" w:ascii="宋体" w:hAnsi="宋体" w:eastAsia="宋体" w:cs="宋体"/>
                <w:color w:val="auto"/>
                <w:sz w:val="23"/>
                <w:highlight w:val="none"/>
              </w:rPr>
            </w:pPr>
          </w:p>
        </w:tc>
        <w:tc>
          <w:tcPr>
            <w:tcW w:w="802" w:type="dxa"/>
            <w:tcBorders>
              <w:top w:val="single" w:color="000000" w:sz="4" w:space="0"/>
              <w:left w:val="single" w:color="000000" w:sz="4" w:space="0"/>
              <w:bottom w:val="single" w:color="000000" w:sz="4" w:space="0"/>
              <w:right w:val="single" w:color="000000" w:sz="4" w:space="0"/>
            </w:tcBorders>
            <w:noWrap w:val="0"/>
            <w:vAlign w:val="top"/>
          </w:tcPr>
          <w:p w14:paraId="3AFB53A3">
            <w:pPr>
              <w:shd w:val="clear" w:color="auto" w:fill="auto"/>
              <w:spacing w:line="440" w:lineRule="exact"/>
              <w:jc w:val="center"/>
              <w:rPr>
                <w:rFonts w:hint="eastAsia" w:ascii="宋体" w:hAnsi="宋体" w:eastAsia="宋体" w:cs="宋体"/>
                <w:color w:val="auto"/>
                <w:sz w:val="23"/>
                <w:highlight w:val="none"/>
              </w:rPr>
            </w:pPr>
          </w:p>
        </w:tc>
        <w:tc>
          <w:tcPr>
            <w:tcW w:w="801" w:type="dxa"/>
            <w:tcBorders>
              <w:top w:val="single" w:color="000000" w:sz="4" w:space="0"/>
              <w:left w:val="single" w:color="000000" w:sz="4" w:space="0"/>
              <w:bottom w:val="single" w:color="000000" w:sz="4" w:space="0"/>
              <w:right w:val="single" w:color="000000" w:sz="4" w:space="0"/>
            </w:tcBorders>
            <w:noWrap w:val="0"/>
            <w:vAlign w:val="top"/>
          </w:tcPr>
          <w:p w14:paraId="5F04D2F8">
            <w:pPr>
              <w:shd w:val="clear" w:color="auto" w:fill="auto"/>
              <w:spacing w:line="440" w:lineRule="exact"/>
              <w:jc w:val="center"/>
              <w:rPr>
                <w:rFonts w:hint="eastAsia" w:ascii="宋体" w:hAnsi="宋体" w:eastAsia="宋体" w:cs="宋体"/>
                <w:color w:val="auto"/>
                <w:sz w:val="23"/>
                <w:highlight w:val="none"/>
              </w:rPr>
            </w:pPr>
          </w:p>
        </w:tc>
        <w:tc>
          <w:tcPr>
            <w:tcW w:w="801" w:type="dxa"/>
            <w:tcBorders>
              <w:top w:val="single" w:color="000000" w:sz="4" w:space="0"/>
              <w:left w:val="single" w:color="000000" w:sz="4" w:space="0"/>
              <w:bottom w:val="single" w:color="000000" w:sz="4" w:space="0"/>
              <w:right w:val="single" w:color="000000" w:sz="4" w:space="0"/>
            </w:tcBorders>
            <w:noWrap w:val="0"/>
            <w:vAlign w:val="top"/>
          </w:tcPr>
          <w:p w14:paraId="5A34852D">
            <w:pPr>
              <w:shd w:val="clear" w:color="auto" w:fill="auto"/>
              <w:spacing w:line="440" w:lineRule="exact"/>
              <w:jc w:val="center"/>
              <w:rPr>
                <w:rFonts w:hint="eastAsia" w:ascii="宋体" w:hAnsi="宋体" w:eastAsia="宋体" w:cs="宋体"/>
                <w:color w:val="auto"/>
                <w:sz w:val="23"/>
                <w:highlight w:val="none"/>
              </w:rPr>
            </w:pPr>
          </w:p>
        </w:tc>
        <w:tc>
          <w:tcPr>
            <w:tcW w:w="801" w:type="dxa"/>
            <w:tcBorders>
              <w:top w:val="single" w:color="000000" w:sz="4" w:space="0"/>
              <w:left w:val="single" w:color="000000" w:sz="4" w:space="0"/>
              <w:bottom w:val="single" w:color="000000" w:sz="4" w:space="0"/>
              <w:right w:val="single" w:color="000000" w:sz="4" w:space="0"/>
            </w:tcBorders>
            <w:noWrap w:val="0"/>
            <w:vAlign w:val="top"/>
          </w:tcPr>
          <w:p w14:paraId="4CE788C2">
            <w:pPr>
              <w:shd w:val="clear" w:color="auto" w:fill="auto"/>
              <w:spacing w:line="440" w:lineRule="exact"/>
              <w:jc w:val="center"/>
              <w:rPr>
                <w:rFonts w:hint="eastAsia" w:ascii="宋体" w:hAnsi="宋体" w:eastAsia="宋体" w:cs="宋体"/>
                <w:color w:val="auto"/>
                <w:sz w:val="23"/>
                <w:highlight w:val="none"/>
              </w:rPr>
            </w:pPr>
          </w:p>
        </w:tc>
        <w:tc>
          <w:tcPr>
            <w:tcW w:w="801" w:type="dxa"/>
            <w:tcBorders>
              <w:top w:val="single" w:color="000000" w:sz="4" w:space="0"/>
              <w:left w:val="single" w:color="000000" w:sz="4" w:space="0"/>
              <w:bottom w:val="single" w:color="000000" w:sz="4" w:space="0"/>
              <w:right w:val="single" w:color="000000" w:sz="4" w:space="0"/>
            </w:tcBorders>
            <w:noWrap w:val="0"/>
            <w:vAlign w:val="top"/>
          </w:tcPr>
          <w:p w14:paraId="4A7B5B61">
            <w:pPr>
              <w:shd w:val="clear" w:color="auto" w:fill="auto"/>
              <w:spacing w:line="440" w:lineRule="exact"/>
              <w:jc w:val="center"/>
              <w:rPr>
                <w:rFonts w:hint="eastAsia" w:ascii="宋体" w:hAnsi="宋体" w:eastAsia="宋体" w:cs="宋体"/>
                <w:color w:val="auto"/>
                <w:sz w:val="23"/>
                <w:highlight w:val="none"/>
              </w:rPr>
            </w:pPr>
          </w:p>
        </w:tc>
        <w:tc>
          <w:tcPr>
            <w:tcW w:w="801" w:type="dxa"/>
            <w:tcBorders>
              <w:top w:val="single" w:color="000000" w:sz="4" w:space="0"/>
              <w:left w:val="single" w:color="000000" w:sz="4" w:space="0"/>
              <w:bottom w:val="single" w:color="000000" w:sz="4" w:space="0"/>
              <w:right w:val="single" w:color="000000" w:sz="4" w:space="0"/>
            </w:tcBorders>
            <w:noWrap w:val="0"/>
            <w:vAlign w:val="top"/>
          </w:tcPr>
          <w:p w14:paraId="5C477888">
            <w:pPr>
              <w:shd w:val="clear" w:color="auto" w:fill="auto"/>
              <w:spacing w:line="440" w:lineRule="exact"/>
              <w:jc w:val="center"/>
              <w:rPr>
                <w:rFonts w:hint="eastAsia" w:ascii="宋体" w:hAnsi="宋体" w:eastAsia="宋体" w:cs="宋体"/>
                <w:color w:val="auto"/>
                <w:sz w:val="23"/>
                <w:highlight w:val="none"/>
              </w:rPr>
            </w:pPr>
          </w:p>
        </w:tc>
        <w:tc>
          <w:tcPr>
            <w:tcW w:w="801" w:type="dxa"/>
            <w:tcBorders>
              <w:top w:val="single" w:color="000000" w:sz="4" w:space="0"/>
              <w:left w:val="single" w:color="000000" w:sz="4" w:space="0"/>
              <w:bottom w:val="single" w:color="000000" w:sz="4" w:space="0"/>
              <w:right w:val="single" w:color="000000" w:sz="4" w:space="0"/>
            </w:tcBorders>
            <w:noWrap w:val="0"/>
            <w:vAlign w:val="top"/>
          </w:tcPr>
          <w:p w14:paraId="63101A10">
            <w:pPr>
              <w:shd w:val="clear" w:color="auto" w:fill="auto"/>
              <w:spacing w:line="440" w:lineRule="exact"/>
              <w:jc w:val="center"/>
              <w:rPr>
                <w:rFonts w:hint="eastAsia" w:ascii="宋体" w:hAnsi="宋体" w:eastAsia="宋体" w:cs="宋体"/>
                <w:color w:val="auto"/>
                <w:sz w:val="23"/>
                <w:highlight w:val="none"/>
              </w:rPr>
            </w:pPr>
          </w:p>
        </w:tc>
        <w:tc>
          <w:tcPr>
            <w:tcW w:w="801" w:type="dxa"/>
            <w:tcBorders>
              <w:top w:val="single" w:color="000000" w:sz="4" w:space="0"/>
              <w:left w:val="single" w:color="000000" w:sz="4" w:space="0"/>
              <w:bottom w:val="single" w:color="000000" w:sz="4" w:space="0"/>
              <w:right w:val="single" w:color="000000" w:sz="4" w:space="0"/>
            </w:tcBorders>
            <w:noWrap w:val="0"/>
            <w:vAlign w:val="top"/>
          </w:tcPr>
          <w:p w14:paraId="1B5DFB5D">
            <w:pPr>
              <w:shd w:val="clear" w:color="auto" w:fill="auto"/>
              <w:spacing w:line="440" w:lineRule="exact"/>
              <w:jc w:val="center"/>
              <w:rPr>
                <w:rFonts w:hint="eastAsia" w:ascii="宋体" w:hAnsi="宋体" w:eastAsia="宋体" w:cs="宋体"/>
                <w:color w:val="auto"/>
                <w:sz w:val="23"/>
                <w:highlight w:val="none"/>
              </w:rPr>
            </w:pPr>
          </w:p>
        </w:tc>
        <w:tc>
          <w:tcPr>
            <w:tcW w:w="801" w:type="dxa"/>
            <w:tcBorders>
              <w:top w:val="single" w:color="000000" w:sz="4" w:space="0"/>
              <w:left w:val="single" w:color="000000" w:sz="4" w:space="0"/>
              <w:bottom w:val="single" w:color="000000" w:sz="4" w:space="0"/>
              <w:right w:val="single" w:color="000000" w:sz="4" w:space="0"/>
            </w:tcBorders>
            <w:noWrap w:val="0"/>
            <w:vAlign w:val="top"/>
          </w:tcPr>
          <w:p w14:paraId="0C567146">
            <w:pPr>
              <w:shd w:val="clear" w:color="auto" w:fill="auto"/>
              <w:spacing w:line="440" w:lineRule="exact"/>
              <w:jc w:val="center"/>
              <w:rPr>
                <w:rFonts w:hint="eastAsia" w:ascii="宋体" w:hAnsi="宋体" w:eastAsia="宋体" w:cs="宋体"/>
                <w:color w:val="auto"/>
                <w:sz w:val="23"/>
                <w:highlight w:val="none"/>
              </w:rPr>
            </w:pPr>
          </w:p>
        </w:tc>
        <w:tc>
          <w:tcPr>
            <w:tcW w:w="804" w:type="dxa"/>
            <w:tcBorders>
              <w:top w:val="single" w:color="000000" w:sz="4" w:space="0"/>
              <w:left w:val="single" w:color="000000" w:sz="4" w:space="0"/>
              <w:bottom w:val="single" w:color="000000" w:sz="4" w:space="0"/>
              <w:right w:val="single" w:color="000000" w:sz="4" w:space="0"/>
            </w:tcBorders>
            <w:noWrap w:val="0"/>
            <w:vAlign w:val="top"/>
          </w:tcPr>
          <w:p w14:paraId="148C1A9A">
            <w:pPr>
              <w:shd w:val="clear" w:color="auto" w:fill="auto"/>
              <w:spacing w:line="440" w:lineRule="exact"/>
              <w:jc w:val="center"/>
              <w:rPr>
                <w:rFonts w:hint="eastAsia" w:ascii="宋体" w:hAnsi="宋体" w:eastAsia="宋体" w:cs="宋体"/>
                <w:color w:val="auto"/>
                <w:sz w:val="23"/>
                <w:highlight w:val="none"/>
              </w:rPr>
            </w:pPr>
          </w:p>
        </w:tc>
      </w:tr>
      <w:tr w14:paraId="546D8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top"/>
          </w:tcPr>
          <w:p w14:paraId="01C948B1">
            <w:pPr>
              <w:shd w:val="clear" w:color="auto" w:fill="auto"/>
              <w:spacing w:line="440" w:lineRule="exact"/>
              <w:jc w:val="center"/>
              <w:rPr>
                <w:rFonts w:hint="eastAsia" w:ascii="宋体" w:hAnsi="宋体" w:eastAsia="宋体" w:cs="宋体"/>
                <w:color w:val="auto"/>
                <w:sz w:val="23"/>
                <w:highlight w:val="none"/>
              </w:rPr>
            </w:pPr>
          </w:p>
        </w:tc>
        <w:tc>
          <w:tcPr>
            <w:tcW w:w="802" w:type="dxa"/>
            <w:tcBorders>
              <w:top w:val="single" w:color="000000" w:sz="4" w:space="0"/>
              <w:left w:val="single" w:color="000000" w:sz="4" w:space="0"/>
              <w:bottom w:val="single" w:color="000000" w:sz="4" w:space="0"/>
              <w:right w:val="single" w:color="000000" w:sz="4" w:space="0"/>
            </w:tcBorders>
            <w:noWrap w:val="0"/>
            <w:vAlign w:val="top"/>
          </w:tcPr>
          <w:p w14:paraId="218545EA">
            <w:pPr>
              <w:shd w:val="clear" w:color="auto" w:fill="auto"/>
              <w:spacing w:line="440" w:lineRule="exact"/>
              <w:jc w:val="center"/>
              <w:rPr>
                <w:rFonts w:hint="eastAsia" w:ascii="宋体" w:hAnsi="宋体" w:eastAsia="宋体" w:cs="宋体"/>
                <w:color w:val="auto"/>
                <w:sz w:val="23"/>
                <w:highlight w:val="none"/>
              </w:rPr>
            </w:pPr>
          </w:p>
        </w:tc>
        <w:tc>
          <w:tcPr>
            <w:tcW w:w="802" w:type="dxa"/>
            <w:tcBorders>
              <w:top w:val="single" w:color="000000" w:sz="4" w:space="0"/>
              <w:left w:val="single" w:color="000000" w:sz="4" w:space="0"/>
              <w:bottom w:val="single" w:color="000000" w:sz="4" w:space="0"/>
              <w:right w:val="single" w:color="000000" w:sz="4" w:space="0"/>
            </w:tcBorders>
            <w:noWrap w:val="0"/>
            <w:vAlign w:val="top"/>
          </w:tcPr>
          <w:p w14:paraId="7F6EBE2B">
            <w:pPr>
              <w:shd w:val="clear" w:color="auto" w:fill="auto"/>
              <w:spacing w:line="440" w:lineRule="exact"/>
              <w:jc w:val="center"/>
              <w:rPr>
                <w:rFonts w:hint="eastAsia" w:ascii="宋体" w:hAnsi="宋体" w:eastAsia="宋体" w:cs="宋体"/>
                <w:color w:val="auto"/>
                <w:sz w:val="23"/>
                <w:highlight w:val="none"/>
              </w:rPr>
            </w:pPr>
          </w:p>
        </w:tc>
        <w:tc>
          <w:tcPr>
            <w:tcW w:w="801" w:type="dxa"/>
            <w:tcBorders>
              <w:top w:val="single" w:color="000000" w:sz="4" w:space="0"/>
              <w:left w:val="single" w:color="000000" w:sz="4" w:space="0"/>
              <w:bottom w:val="single" w:color="000000" w:sz="4" w:space="0"/>
              <w:right w:val="single" w:color="000000" w:sz="4" w:space="0"/>
            </w:tcBorders>
            <w:noWrap w:val="0"/>
            <w:vAlign w:val="top"/>
          </w:tcPr>
          <w:p w14:paraId="25433EA4">
            <w:pPr>
              <w:shd w:val="clear" w:color="auto" w:fill="auto"/>
              <w:spacing w:line="440" w:lineRule="exact"/>
              <w:jc w:val="center"/>
              <w:rPr>
                <w:rFonts w:hint="eastAsia" w:ascii="宋体" w:hAnsi="宋体" w:eastAsia="宋体" w:cs="宋体"/>
                <w:color w:val="auto"/>
                <w:sz w:val="23"/>
                <w:highlight w:val="none"/>
              </w:rPr>
            </w:pPr>
          </w:p>
        </w:tc>
        <w:tc>
          <w:tcPr>
            <w:tcW w:w="801" w:type="dxa"/>
            <w:tcBorders>
              <w:top w:val="single" w:color="000000" w:sz="4" w:space="0"/>
              <w:left w:val="single" w:color="000000" w:sz="4" w:space="0"/>
              <w:bottom w:val="single" w:color="000000" w:sz="4" w:space="0"/>
              <w:right w:val="single" w:color="000000" w:sz="4" w:space="0"/>
            </w:tcBorders>
            <w:noWrap w:val="0"/>
            <w:vAlign w:val="top"/>
          </w:tcPr>
          <w:p w14:paraId="50F8B3B2">
            <w:pPr>
              <w:shd w:val="clear" w:color="auto" w:fill="auto"/>
              <w:spacing w:line="440" w:lineRule="exact"/>
              <w:jc w:val="center"/>
              <w:rPr>
                <w:rFonts w:hint="eastAsia" w:ascii="宋体" w:hAnsi="宋体" w:eastAsia="宋体" w:cs="宋体"/>
                <w:color w:val="auto"/>
                <w:sz w:val="23"/>
                <w:highlight w:val="none"/>
              </w:rPr>
            </w:pPr>
          </w:p>
        </w:tc>
        <w:tc>
          <w:tcPr>
            <w:tcW w:w="801" w:type="dxa"/>
            <w:tcBorders>
              <w:top w:val="single" w:color="000000" w:sz="4" w:space="0"/>
              <w:left w:val="single" w:color="000000" w:sz="4" w:space="0"/>
              <w:bottom w:val="single" w:color="000000" w:sz="4" w:space="0"/>
              <w:right w:val="single" w:color="000000" w:sz="4" w:space="0"/>
            </w:tcBorders>
            <w:noWrap w:val="0"/>
            <w:vAlign w:val="top"/>
          </w:tcPr>
          <w:p w14:paraId="6A85878C">
            <w:pPr>
              <w:shd w:val="clear" w:color="auto" w:fill="auto"/>
              <w:spacing w:line="440" w:lineRule="exact"/>
              <w:jc w:val="center"/>
              <w:rPr>
                <w:rFonts w:hint="eastAsia" w:ascii="宋体" w:hAnsi="宋体" w:eastAsia="宋体" w:cs="宋体"/>
                <w:color w:val="auto"/>
                <w:sz w:val="23"/>
                <w:highlight w:val="none"/>
              </w:rPr>
            </w:pPr>
          </w:p>
        </w:tc>
        <w:tc>
          <w:tcPr>
            <w:tcW w:w="801" w:type="dxa"/>
            <w:tcBorders>
              <w:top w:val="single" w:color="000000" w:sz="4" w:space="0"/>
              <w:left w:val="single" w:color="000000" w:sz="4" w:space="0"/>
              <w:bottom w:val="single" w:color="000000" w:sz="4" w:space="0"/>
              <w:right w:val="single" w:color="000000" w:sz="4" w:space="0"/>
            </w:tcBorders>
            <w:noWrap w:val="0"/>
            <w:vAlign w:val="top"/>
          </w:tcPr>
          <w:p w14:paraId="40996423">
            <w:pPr>
              <w:shd w:val="clear" w:color="auto" w:fill="auto"/>
              <w:spacing w:line="440" w:lineRule="exact"/>
              <w:jc w:val="center"/>
              <w:rPr>
                <w:rFonts w:hint="eastAsia" w:ascii="宋体" w:hAnsi="宋体" w:eastAsia="宋体" w:cs="宋体"/>
                <w:color w:val="auto"/>
                <w:sz w:val="23"/>
                <w:highlight w:val="none"/>
              </w:rPr>
            </w:pPr>
          </w:p>
        </w:tc>
        <w:tc>
          <w:tcPr>
            <w:tcW w:w="801" w:type="dxa"/>
            <w:tcBorders>
              <w:top w:val="single" w:color="000000" w:sz="4" w:space="0"/>
              <w:left w:val="single" w:color="000000" w:sz="4" w:space="0"/>
              <w:bottom w:val="single" w:color="000000" w:sz="4" w:space="0"/>
              <w:right w:val="single" w:color="000000" w:sz="4" w:space="0"/>
            </w:tcBorders>
            <w:noWrap w:val="0"/>
            <w:vAlign w:val="top"/>
          </w:tcPr>
          <w:p w14:paraId="3FB6CD36">
            <w:pPr>
              <w:shd w:val="clear" w:color="auto" w:fill="auto"/>
              <w:spacing w:line="440" w:lineRule="exact"/>
              <w:jc w:val="center"/>
              <w:rPr>
                <w:rFonts w:hint="eastAsia" w:ascii="宋体" w:hAnsi="宋体" w:eastAsia="宋体" w:cs="宋体"/>
                <w:color w:val="auto"/>
                <w:sz w:val="23"/>
                <w:highlight w:val="none"/>
              </w:rPr>
            </w:pPr>
          </w:p>
        </w:tc>
        <w:tc>
          <w:tcPr>
            <w:tcW w:w="801" w:type="dxa"/>
            <w:tcBorders>
              <w:top w:val="single" w:color="000000" w:sz="4" w:space="0"/>
              <w:left w:val="single" w:color="000000" w:sz="4" w:space="0"/>
              <w:bottom w:val="single" w:color="000000" w:sz="4" w:space="0"/>
              <w:right w:val="single" w:color="000000" w:sz="4" w:space="0"/>
            </w:tcBorders>
            <w:noWrap w:val="0"/>
            <w:vAlign w:val="top"/>
          </w:tcPr>
          <w:p w14:paraId="38C0951B">
            <w:pPr>
              <w:shd w:val="clear" w:color="auto" w:fill="auto"/>
              <w:spacing w:line="440" w:lineRule="exact"/>
              <w:jc w:val="center"/>
              <w:rPr>
                <w:rFonts w:hint="eastAsia" w:ascii="宋体" w:hAnsi="宋体" w:eastAsia="宋体" w:cs="宋体"/>
                <w:color w:val="auto"/>
                <w:sz w:val="23"/>
                <w:highlight w:val="none"/>
              </w:rPr>
            </w:pPr>
          </w:p>
        </w:tc>
        <w:tc>
          <w:tcPr>
            <w:tcW w:w="801" w:type="dxa"/>
            <w:tcBorders>
              <w:top w:val="single" w:color="000000" w:sz="4" w:space="0"/>
              <w:left w:val="single" w:color="000000" w:sz="4" w:space="0"/>
              <w:bottom w:val="single" w:color="000000" w:sz="4" w:space="0"/>
              <w:right w:val="single" w:color="000000" w:sz="4" w:space="0"/>
            </w:tcBorders>
            <w:noWrap w:val="0"/>
            <w:vAlign w:val="top"/>
          </w:tcPr>
          <w:p w14:paraId="0F0FE0C5">
            <w:pPr>
              <w:shd w:val="clear" w:color="auto" w:fill="auto"/>
              <w:spacing w:line="440" w:lineRule="exact"/>
              <w:jc w:val="center"/>
              <w:rPr>
                <w:rFonts w:hint="eastAsia" w:ascii="宋体" w:hAnsi="宋体" w:eastAsia="宋体" w:cs="宋体"/>
                <w:color w:val="auto"/>
                <w:sz w:val="23"/>
                <w:highlight w:val="none"/>
              </w:rPr>
            </w:pPr>
          </w:p>
        </w:tc>
        <w:tc>
          <w:tcPr>
            <w:tcW w:w="801" w:type="dxa"/>
            <w:tcBorders>
              <w:top w:val="single" w:color="000000" w:sz="4" w:space="0"/>
              <w:left w:val="single" w:color="000000" w:sz="4" w:space="0"/>
              <w:bottom w:val="single" w:color="000000" w:sz="4" w:space="0"/>
              <w:right w:val="single" w:color="000000" w:sz="4" w:space="0"/>
            </w:tcBorders>
            <w:noWrap w:val="0"/>
            <w:vAlign w:val="top"/>
          </w:tcPr>
          <w:p w14:paraId="54108DEB">
            <w:pPr>
              <w:shd w:val="clear" w:color="auto" w:fill="auto"/>
              <w:spacing w:line="440" w:lineRule="exact"/>
              <w:jc w:val="center"/>
              <w:rPr>
                <w:rFonts w:hint="eastAsia" w:ascii="宋体" w:hAnsi="宋体" w:eastAsia="宋体" w:cs="宋体"/>
                <w:color w:val="auto"/>
                <w:sz w:val="23"/>
                <w:highlight w:val="none"/>
              </w:rPr>
            </w:pPr>
          </w:p>
        </w:tc>
        <w:tc>
          <w:tcPr>
            <w:tcW w:w="804" w:type="dxa"/>
            <w:tcBorders>
              <w:top w:val="single" w:color="000000" w:sz="4" w:space="0"/>
              <w:left w:val="single" w:color="000000" w:sz="4" w:space="0"/>
              <w:bottom w:val="single" w:color="000000" w:sz="4" w:space="0"/>
              <w:right w:val="single" w:color="000000" w:sz="4" w:space="0"/>
            </w:tcBorders>
            <w:noWrap w:val="0"/>
            <w:vAlign w:val="top"/>
          </w:tcPr>
          <w:p w14:paraId="7E110DAE">
            <w:pPr>
              <w:shd w:val="clear" w:color="auto" w:fill="auto"/>
              <w:spacing w:line="440" w:lineRule="exact"/>
              <w:jc w:val="center"/>
              <w:rPr>
                <w:rFonts w:hint="eastAsia" w:ascii="宋体" w:hAnsi="宋体" w:eastAsia="宋体" w:cs="宋体"/>
                <w:color w:val="auto"/>
                <w:sz w:val="23"/>
                <w:highlight w:val="none"/>
              </w:rPr>
            </w:pPr>
          </w:p>
        </w:tc>
      </w:tr>
      <w:tr w14:paraId="5761A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top"/>
          </w:tcPr>
          <w:p w14:paraId="26AEA5D2">
            <w:pPr>
              <w:shd w:val="clear" w:color="auto" w:fill="auto"/>
              <w:spacing w:line="440" w:lineRule="exact"/>
              <w:jc w:val="center"/>
              <w:rPr>
                <w:rFonts w:hint="eastAsia" w:ascii="宋体" w:hAnsi="宋体" w:eastAsia="宋体" w:cs="宋体"/>
                <w:color w:val="auto"/>
                <w:sz w:val="23"/>
                <w:highlight w:val="none"/>
              </w:rPr>
            </w:pPr>
          </w:p>
        </w:tc>
        <w:tc>
          <w:tcPr>
            <w:tcW w:w="802" w:type="dxa"/>
            <w:tcBorders>
              <w:top w:val="single" w:color="000000" w:sz="4" w:space="0"/>
              <w:left w:val="single" w:color="000000" w:sz="4" w:space="0"/>
              <w:bottom w:val="single" w:color="000000" w:sz="4" w:space="0"/>
              <w:right w:val="single" w:color="000000" w:sz="4" w:space="0"/>
            </w:tcBorders>
            <w:noWrap w:val="0"/>
            <w:vAlign w:val="top"/>
          </w:tcPr>
          <w:p w14:paraId="1130AAE8">
            <w:pPr>
              <w:shd w:val="clear" w:color="auto" w:fill="auto"/>
              <w:spacing w:line="440" w:lineRule="exact"/>
              <w:jc w:val="center"/>
              <w:rPr>
                <w:rFonts w:hint="eastAsia" w:ascii="宋体" w:hAnsi="宋体" w:eastAsia="宋体" w:cs="宋体"/>
                <w:color w:val="auto"/>
                <w:sz w:val="23"/>
                <w:highlight w:val="none"/>
              </w:rPr>
            </w:pPr>
          </w:p>
        </w:tc>
        <w:tc>
          <w:tcPr>
            <w:tcW w:w="802" w:type="dxa"/>
            <w:tcBorders>
              <w:top w:val="single" w:color="000000" w:sz="4" w:space="0"/>
              <w:left w:val="single" w:color="000000" w:sz="4" w:space="0"/>
              <w:bottom w:val="single" w:color="000000" w:sz="4" w:space="0"/>
              <w:right w:val="single" w:color="000000" w:sz="4" w:space="0"/>
            </w:tcBorders>
            <w:noWrap w:val="0"/>
            <w:vAlign w:val="top"/>
          </w:tcPr>
          <w:p w14:paraId="3E8D4B24">
            <w:pPr>
              <w:shd w:val="clear" w:color="auto" w:fill="auto"/>
              <w:spacing w:line="440" w:lineRule="exact"/>
              <w:jc w:val="center"/>
              <w:rPr>
                <w:rFonts w:hint="eastAsia" w:ascii="宋体" w:hAnsi="宋体" w:eastAsia="宋体" w:cs="宋体"/>
                <w:color w:val="auto"/>
                <w:sz w:val="23"/>
                <w:highlight w:val="none"/>
              </w:rPr>
            </w:pPr>
          </w:p>
        </w:tc>
        <w:tc>
          <w:tcPr>
            <w:tcW w:w="801" w:type="dxa"/>
            <w:tcBorders>
              <w:top w:val="single" w:color="000000" w:sz="4" w:space="0"/>
              <w:left w:val="single" w:color="000000" w:sz="4" w:space="0"/>
              <w:bottom w:val="single" w:color="000000" w:sz="4" w:space="0"/>
              <w:right w:val="single" w:color="000000" w:sz="4" w:space="0"/>
            </w:tcBorders>
            <w:noWrap w:val="0"/>
            <w:vAlign w:val="top"/>
          </w:tcPr>
          <w:p w14:paraId="2480A995">
            <w:pPr>
              <w:shd w:val="clear" w:color="auto" w:fill="auto"/>
              <w:spacing w:line="440" w:lineRule="exact"/>
              <w:jc w:val="center"/>
              <w:rPr>
                <w:rFonts w:hint="eastAsia" w:ascii="宋体" w:hAnsi="宋体" w:eastAsia="宋体" w:cs="宋体"/>
                <w:color w:val="auto"/>
                <w:sz w:val="23"/>
                <w:highlight w:val="none"/>
              </w:rPr>
            </w:pPr>
          </w:p>
        </w:tc>
        <w:tc>
          <w:tcPr>
            <w:tcW w:w="801" w:type="dxa"/>
            <w:tcBorders>
              <w:top w:val="single" w:color="000000" w:sz="4" w:space="0"/>
              <w:left w:val="single" w:color="000000" w:sz="4" w:space="0"/>
              <w:bottom w:val="single" w:color="000000" w:sz="4" w:space="0"/>
              <w:right w:val="single" w:color="000000" w:sz="4" w:space="0"/>
            </w:tcBorders>
            <w:noWrap w:val="0"/>
            <w:vAlign w:val="top"/>
          </w:tcPr>
          <w:p w14:paraId="1CE6F974">
            <w:pPr>
              <w:shd w:val="clear" w:color="auto" w:fill="auto"/>
              <w:spacing w:line="440" w:lineRule="exact"/>
              <w:jc w:val="center"/>
              <w:rPr>
                <w:rFonts w:hint="eastAsia" w:ascii="宋体" w:hAnsi="宋体" w:eastAsia="宋体" w:cs="宋体"/>
                <w:color w:val="auto"/>
                <w:sz w:val="23"/>
                <w:highlight w:val="none"/>
              </w:rPr>
            </w:pPr>
          </w:p>
        </w:tc>
        <w:tc>
          <w:tcPr>
            <w:tcW w:w="801" w:type="dxa"/>
            <w:tcBorders>
              <w:top w:val="single" w:color="000000" w:sz="4" w:space="0"/>
              <w:left w:val="single" w:color="000000" w:sz="4" w:space="0"/>
              <w:bottom w:val="single" w:color="000000" w:sz="4" w:space="0"/>
              <w:right w:val="single" w:color="000000" w:sz="4" w:space="0"/>
            </w:tcBorders>
            <w:noWrap w:val="0"/>
            <w:vAlign w:val="top"/>
          </w:tcPr>
          <w:p w14:paraId="5FDE53ED">
            <w:pPr>
              <w:shd w:val="clear" w:color="auto" w:fill="auto"/>
              <w:spacing w:line="440" w:lineRule="exact"/>
              <w:jc w:val="center"/>
              <w:rPr>
                <w:rFonts w:hint="eastAsia" w:ascii="宋体" w:hAnsi="宋体" w:eastAsia="宋体" w:cs="宋体"/>
                <w:color w:val="auto"/>
                <w:sz w:val="23"/>
                <w:highlight w:val="none"/>
              </w:rPr>
            </w:pPr>
          </w:p>
        </w:tc>
        <w:tc>
          <w:tcPr>
            <w:tcW w:w="801" w:type="dxa"/>
            <w:tcBorders>
              <w:top w:val="single" w:color="000000" w:sz="4" w:space="0"/>
              <w:left w:val="single" w:color="000000" w:sz="4" w:space="0"/>
              <w:bottom w:val="single" w:color="000000" w:sz="4" w:space="0"/>
              <w:right w:val="single" w:color="000000" w:sz="4" w:space="0"/>
            </w:tcBorders>
            <w:noWrap w:val="0"/>
            <w:vAlign w:val="top"/>
          </w:tcPr>
          <w:p w14:paraId="28D38245">
            <w:pPr>
              <w:shd w:val="clear" w:color="auto" w:fill="auto"/>
              <w:spacing w:line="440" w:lineRule="exact"/>
              <w:jc w:val="center"/>
              <w:rPr>
                <w:rFonts w:hint="eastAsia" w:ascii="宋体" w:hAnsi="宋体" w:eastAsia="宋体" w:cs="宋体"/>
                <w:color w:val="auto"/>
                <w:sz w:val="23"/>
                <w:highlight w:val="none"/>
              </w:rPr>
            </w:pPr>
          </w:p>
        </w:tc>
        <w:tc>
          <w:tcPr>
            <w:tcW w:w="801" w:type="dxa"/>
            <w:tcBorders>
              <w:top w:val="single" w:color="000000" w:sz="4" w:space="0"/>
              <w:left w:val="single" w:color="000000" w:sz="4" w:space="0"/>
              <w:bottom w:val="single" w:color="000000" w:sz="4" w:space="0"/>
              <w:right w:val="single" w:color="000000" w:sz="4" w:space="0"/>
            </w:tcBorders>
            <w:noWrap w:val="0"/>
            <w:vAlign w:val="top"/>
          </w:tcPr>
          <w:p w14:paraId="42851F96">
            <w:pPr>
              <w:shd w:val="clear" w:color="auto" w:fill="auto"/>
              <w:spacing w:line="440" w:lineRule="exact"/>
              <w:jc w:val="center"/>
              <w:rPr>
                <w:rFonts w:hint="eastAsia" w:ascii="宋体" w:hAnsi="宋体" w:eastAsia="宋体" w:cs="宋体"/>
                <w:color w:val="auto"/>
                <w:sz w:val="23"/>
                <w:highlight w:val="none"/>
              </w:rPr>
            </w:pPr>
          </w:p>
        </w:tc>
        <w:tc>
          <w:tcPr>
            <w:tcW w:w="801" w:type="dxa"/>
            <w:tcBorders>
              <w:top w:val="single" w:color="000000" w:sz="4" w:space="0"/>
              <w:left w:val="single" w:color="000000" w:sz="4" w:space="0"/>
              <w:bottom w:val="single" w:color="000000" w:sz="4" w:space="0"/>
              <w:right w:val="single" w:color="000000" w:sz="4" w:space="0"/>
            </w:tcBorders>
            <w:noWrap w:val="0"/>
            <w:vAlign w:val="top"/>
          </w:tcPr>
          <w:p w14:paraId="6FA486B0">
            <w:pPr>
              <w:shd w:val="clear" w:color="auto" w:fill="auto"/>
              <w:spacing w:line="440" w:lineRule="exact"/>
              <w:jc w:val="center"/>
              <w:rPr>
                <w:rFonts w:hint="eastAsia" w:ascii="宋体" w:hAnsi="宋体" w:eastAsia="宋体" w:cs="宋体"/>
                <w:color w:val="auto"/>
                <w:sz w:val="23"/>
                <w:highlight w:val="none"/>
              </w:rPr>
            </w:pPr>
          </w:p>
        </w:tc>
        <w:tc>
          <w:tcPr>
            <w:tcW w:w="801" w:type="dxa"/>
            <w:tcBorders>
              <w:top w:val="single" w:color="000000" w:sz="4" w:space="0"/>
              <w:left w:val="single" w:color="000000" w:sz="4" w:space="0"/>
              <w:bottom w:val="single" w:color="000000" w:sz="4" w:space="0"/>
              <w:right w:val="single" w:color="000000" w:sz="4" w:space="0"/>
            </w:tcBorders>
            <w:noWrap w:val="0"/>
            <w:vAlign w:val="top"/>
          </w:tcPr>
          <w:p w14:paraId="651F383F">
            <w:pPr>
              <w:shd w:val="clear" w:color="auto" w:fill="auto"/>
              <w:spacing w:line="440" w:lineRule="exact"/>
              <w:jc w:val="center"/>
              <w:rPr>
                <w:rFonts w:hint="eastAsia" w:ascii="宋体" w:hAnsi="宋体" w:eastAsia="宋体" w:cs="宋体"/>
                <w:color w:val="auto"/>
                <w:sz w:val="23"/>
                <w:highlight w:val="none"/>
              </w:rPr>
            </w:pPr>
          </w:p>
        </w:tc>
        <w:tc>
          <w:tcPr>
            <w:tcW w:w="801" w:type="dxa"/>
            <w:tcBorders>
              <w:top w:val="single" w:color="000000" w:sz="4" w:space="0"/>
              <w:left w:val="single" w:color="000000" w:sz="4" w:space="0"/>
              <w:bottom w:val="single" w:color="000000" w:sz="4" w:space="0"/>
              <w:right w:val="single" w:color="000000" w:sz="4" w:space="0"/>
            </w:tcBorders>
            <w:noWrap w:val="0"/>
            <w:vAlign w:val="top"/>
          </w:tcPr>
          <w:p w14:paraId="252FD97E">
            <w:pPr>
              <w:shd w:val="clear" w:color="auto" w:fill="auto"/>
              <w:spacing w:line="440" w:lineRule="exact"/>
              <w:jc w:val="center"/>
              <w:rPr>
                <w:rFonts w:hint="eastAsia" w:ascii="宋体" w:hAnsi="宋体" w:eastAsia="宋体" w:cs="宋体"/>
                <w:color w:val="auto"/>
                <w:sz w:val="23"/>
                <w:highlight w:val="none"/>
              </w:rPr>
            </w:pPr>
          </w:p>
        </w:tc>
        <w:tc>
          <w:tcPr>
            <w:tcW w:w="804" w:type="dxa"/>
            <w:tcBorders>
              <w:top w:val="single" w:color="000000" w:sz="4" w:space="0"/>
              <w:left w:val="single" w:color="000000" w:sz="4" w:space="0"/>
              <w:bottom w:val="single" w:color="000000" w:sz="4" w:space="0"/>
              <w:right w:val="single" w:color="000000" w:sz="4" w:space="0"/>
            </w:tcBorders>
            <w:noWrap w:val="0"/>
            <w:vAlign w:val="top"/>
          </w:tcPr>
          <w:p w14:paraId="24912099">
            <w:pPr>
              <w:shd w:val="clear" w:color="auto" w:fill="auto"/>
              <w:spacing w:line="440" w:lineRule="exact"/>
              <w:jc w:val="center"/>
              <w:rPr>
                <w:rFonts w:hint="eastAsia" w:ascii="宋体" w:hAnsi="宋体" w:eastAsia="宋体" w:cs="宋体"/>
                <w:color w:val="auto"/>
                <w:sz w:val="23"/>
                <w:highlight w:val="none"/>
              </w:rPr>
            </w:pPr>
          </w:p>
        </w:tc>
      </w:tr>
      <w:tr w14:paraId="5A835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9618" w:type="dxa"/>
            <w:gridSpan w:val="12"/>
            <w:tcBorders>
              <w:top w:val="single" w:color="000000" w:sz="4" w:space="0"/>
              <w:left w:val="single" w:color="000000" w:sz="4" w:space="0"/>
              <w:bottom w:val="single" w:color="000000" w:sz="4" w:space="0"/>
              <w:right w:val="single" w:color="000000" w:sz="4" w:space="0"/>
            </w:tcBorders>
            <w:noWrap w:val="0"/>
            <w:vAlign w:val="center"/>
          </w:tcPr>
          <w:p w14:paraId="76E0778E">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 w:val="23"/>
                <w:highlight w:val="none"/>
              </w:rPr>
              <w:t>项目总监理工程师</w:t>
            </w:r>
            <w:r>
              <w:rPr>
                <w:rFonts w:hint="eastAsia" w:ascii="宋体" w:hAnsi="宋体" w:eastAsia="宋体" w:cs="宋体"/>
                <w:color w:val="auto"/>
                <w:highlight w:val="none"/>
              </w:rPr>
              <w:t>近年完成的类似项目情况</w:t>
            </w:r>
          </w:p>
        </w:tc>
      </w:tr>
      <w:tr w14:paraId="55E70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center"/>
          </w:tcPr>
          <w:p w14:paraId="3C735DF0">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序号</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51E76D03">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w:t>
            </w:r>
          </w:p>
          <w:p w14:paraId="39A903A0">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5FEF85DB">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工程地点</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72D76F4">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w:t>
            </w:r>
          </w:p>
          <w:p w14:paraId="61E2E7C7">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规模</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98B49CE">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总投资</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FFD87DF">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w:t>
            </w:r>
          </w:p>
          <w:p w14:paraId="71964750">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w:t>
            </w:r>
          </w:p>
          <w:p w14:paraId="2262DB5C">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范围</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FA6684A">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监理合同金额</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0E27536">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w:t>
            </w:r>
          </w:p>
          <w:p w14:paraId="316E3C71">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服务期限</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A131461">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竣工日期</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A4D1BEC">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w:t>
            </w:r>
          </w:p>
          <w:p w14:paraId="67ADDA2D">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总监</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F39ACF3">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奖惩情况</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3CDCAF6">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7AE82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top"/>
          </w:tcPr>
          <w:p w14:paraId="2D772786">
            <w:pPr>
              <w:shd w:val="clear" w:color="auto" w:fill="auto"/>
              <w:spacing w:line="440" w:lineRule="exact"/>
              <w:jc w:val="center"/>
              <w:rPr>
                <w:rFonts w:hint="eastAsia" w:ascii="宋体" w:hAnsi="宋体" w:eastAsia="宋体" w:cs="宋体"/>
                <w:color w:val="auto"/>
                <w:sz w:val="23"/>
                <w:highlight w:val="none"/>
              </w:rPr>
            </w:pPr>
          </w:p>
        </w:tc>
        <w:tc>
          <w:tcPr>
            <w:tcW w:w="802" w:type="dxa"/>
            <w:tcBorders>
              <w:top w:val="single" w:color="000000" w:sz="4" w:space="0"/>
              <w:left w:val="single" w:color="000000" w:sz="4" w:space="0"/>
              <w:bottom w:val="single" w:color="000000" w:sz="4" w:space="0"/>
              <w:right w:val="single" w:color="000000" w:sz="4" w:space="0"/>
            </w:tcBorders>
            <w:noWrap w:val="0"/>
            <w:vAlign w:val="top"/>
          </w:tcPr>
          <w:p w14:paraId="5AE0416D">
            <w:pPr>
              <w:shd w:val="clear" w:color="auto" w:fill="auto"/>
              <w:spacing w:line="440" w:lineRule="exact"/>
              <w:jc w:val="center"/>
              <w:rPr>
                <w:rFonts w:hint="eastAsia" w:ascii="宋体" w:hAnsi="宋体" w:eastAsia="宋体" w:cs="宋体"/>
                <w:color w:val="auto"/>
                <w:sz w:val="23"/>
                <w:highlight w:val="none"/>
              </w:rPr>
            </w:pPr>
          </w:p>
        </w:tc>
        <w:tc>
          <w:tcPr>
            <w:tcW w:w="802" w:type="dxa"/>
            <w:tcBorders>
              <w:top w:val="single" w:color="000000" w:sz="4" w:space="0"/>
              <w:left w:val="single" w:color="000000" w:sz="4" w:space="0"/>
              <w:bottom w:val="single" w:color="000000" w:sz="4" w:space="0"/>
              <w:right w:val="single" w:color="000000" w:sz="4" w:space="0"/>
            </w:tcBorders>
            <w:noWrap w:val="0"/>
            <w:vAlign w:val="top"/>
          </w:tcPr>
          <w:p w14:paraId="60503C1D">
            <w:pPr>
              <w:shd w:val="clear" w:color="auto" w:fill="auto"/>
              <w:spacing w:line="440" w:lineRule="exact"/>
              <w:jc w:val="center"/>
              <w:rPr>
                <w:rFonts w:hint="eastAsia" w:ascii="宋体" w:hAnsi="宋体" w:eastAsia="宋体" w:cs="宋体"/>
                <w:color w:val="auto"/>
                <w:sz w:val="23"/>
                <w:highlight w:val="none"/>
              </w:rPr>
            </w:pPr>
          </w:p>
        </w:tc>
        <w:tc>
          <w:tcPr>
            <w:tcW w:w="801" w:type="dxa"/>
            <w:tcBorders>
              <w:top w:val="single" w:color="000000" w:sz="4" w:space="0"/>
              <w:left w:val="single" w:color="000000" w:sz="4" w:space="0"/>
              <w:bottom w:val="single" w:color="000000" w:sz="4" w:space="0"/>
              <w:right w:val="single" w:color="000000" w:sz="4" w:space="0"/>
            </w:tcBorders>
            <w:noWrap w:val="0"/>
            <w:vAlign w:val="top"/>
          </w:tcPr>
          <w:p w14:paraId="53E4E468">
            <w:pPr>
              <w:shd w:val="clear" w:color="auto" w:fill="auto"/>
              <w:spacing w:line="440" w:lineRule="exact"/>
              <w:jc w:val="center"/>
              <w:rPr>
                <w:rFonts w:hint="eastAsia" w:ascii="宋体" w:hAnsi="宋体" w:eastAsia="宋体" w:cs="宋体"/>
                <w:color w:val="auto"/>
                <w:sz w:val="23"/>
                <w:highlight w:val="none"/>
              </w:rPr>
            </w:pPr>
          </w:p>
        </w:tc>
        <w:tc>
          <w:tcPr>
            <w:tcW w:w="801" w:type="dxa"/>
            <w:tcBorders>
              <w:top w:val="single" w:color="000000" w:sz="4" w:space="0"/>
              <w:left w:val="single" w:color="000000" w:sz="4" w:space="0"/>
              <w:bottom w:val="single" w:color="000000" w:sz="4" w:space="0"/>
              <w:right w:val="single" w:color="000000" w:sz="4" w:space="0"/>
            </w:tcBorders>
            <w:noWrap w:val="0"/>
            <w:vAlign w:val="top"/>
          </w:tcPr>
          <w:p w14:paraId="50C3D1FA">
            <w:pPr>
              <w:shd w:val="clear" w:color="auto" w:fill="auto"/>
              <w:spacing w:line="440" w:lineRule="exact"/>
              <w:jc w:val="center"/>
              <w:rPr>
                <w:rFonts w:hint="eastAsia" w:ascii="宋体" w:hAnsi="宋体" w:eastAsia="宋体" w:cs="宋体"/>
                <w:color w:val="auto"/>
                <w:sz w:val="23"/>
                <w:highlight w:val="none"/>
              </w:rPr>
            </w:pPr>
          </w:p>
        </w:tc>
        <w:tc>
          <w:tcPr>
            <w:tcW w:w="801" w:type="dxa"/>
            <w:tcBorders>
              <w:top w:val="single" w:color="000000" w:sz="4" w:space="0"/>
              <w:left w:val="single" w:color="000000" w:sz="4" w:space="0"/>
              <w:bottom w:val="single" w:color="000000" w:sz="4" w:space="0"/>
              <w:right w:val="single" w:color="000000" w:sz="4" w:space="0"/>
            </w:tcBorders>
            <w:noWrap w:val="0"/>
            <w:vAlign w:val="top"/>
          </w:tcPr>
          <w:p w14:paraId="61F7DA01">
            <w:pPr>
              <w:shd w:val="clear" w:color="auto" w:fill="auto"/>
              <w:spacing w:line="440" w:lineRule="exact"/>
              <w:jc w:val="center"/>
              <w:rPr>
                <w:rFonts w:hint="eastAsia" w:ascii="宋体" w:hAnsi="宋体" w:eastAsia="宋体" w:cs="宋体"/>
                <w:color w:val="auto"/>
                <w:sz w:val="23"/>
                <w:highlight w:val="none"/>
              </w:rPr>
            </w:pPr>
          </w:p>
        </w:tc>
        <w:tc>
          <w:tcPr>
            <w:tcW w:w="801" w:type="dxa"/>
            <w:tcBorders>
              <w:top w:val="single" w:color="000000" w:sz="4" w:space="0"/>
              <w:left w:val="single" w:color="000000" w:sz="4" w:space="0"/>
              <w:bottom w:val="single" w:color="000000" w:sz="4" w:space="0"/>
              <w:right w:val="single" w:color="000000" w:sz="4" w:space="0"/>
            </w:tcBorders>
            <w:noWrap w:val="0"/>
            <w:vAlign w:val="top"/>
          </w:tcPr>
          <w:p w14:paraId="54F612BF">
            <w:pPr>
              <w:shd w:val="clear" w:color="auto" w:fill="auto"/>
              <w:spacing w:line="440" w:lineRule="exact"/>
              <w:jc w:val="center"/>
              <w:rPr>
                <w:rFonts w:hint="eastAsia" w:ascii="宋体" w:hAnsi="宋体" w:eastAsia="宋体" w:cs="宋体"/>
                <w:color w:val="auto"/>
                <w:sz w:val="23"/>
                <w:highlight w:val="none"/>
              </w:rPr>
            </w:pPr>
          </w:p>
        </w:tc>
        <w:tc>
          <w:tcPr>
            <w:tcW w:w="801" w:type="dxa"/>
            <w:tcBorders>
              <w:top w:val="single" w:color="000000" w:sz="4" w:space="0"/>
              <w:left w:val="single" w:color="000000" w:sz="4" w:space="0"/>
              <w:bottom w:val="single" w:color="000000" w:sz="4" w:space="0"/>
              <w:right w:val="single" w:color="000000" w:sz="4" w:space="0"/>
            </w:tcBorders>
            <w:noWrap w:val="0"/>
            <w:vAlign w:val="top"/>
          </w:tcPr>
          <w:p w14:paraId="7BF5CCD4">
            <w:pPr>
              <w:shd w:val="clear" w:color="auto" w:fill="auto"/>
              <w:spacing w:line="440" w:lineRule="exact"/>
              <w:jc w:val="center"/>
              <w:rPr>
                <w:rFonts w:hint="eastAsia" w:ascii="宋体" w:hAnsi="宋体" w:eastAsia="宋体" w:cs="宋体"/>
                <w:color w:val="auto"/>
                <w:sz w:val="23"/>
                <w:highlight w:val="none"/>
              </w:rPr>
            </w:pPr>
          </w:p>
        </w:tc>
        <w:tc>
          <w:tcPr>
            <w:tcW w:w="801" w:type="dxa"/>
            <w:tcBorders>
              <w:top w:val="single" w:color="000000" w:sz="4" w:space="0"/>
              <w:left w:val="single" w:color="000000" w:sz="4" w:space="0"/>
              <w:bottom w:val="single" w:color="000000" w:sz="4" w:space="0"/>
              <w:right w:val="single" w:color="000000" w:sz="4" w:space="0"/>
            </w:tcBorders>
            <w:noWrap w:val="0"/>
            <w:vAlign w:val="top"/>
          </w:tcPr>
          <w:p w14:paraId="7C409DBA">
            <w:pPr>
              <w:shd w:val="clear" w:color="auto" w:fill="auto"/>
              <w:spacing w:line="440" w:lineRule="exact"/>
              <w:jc w:val="center"/>
              <w:rPr>
                <w:rFonts w:hint="eastAsia" w:ascii="宋体" w:hAnsi="宋体" w:eastAsia="宋体" w:cs="宋体"/>
                <w:color w:val="auto"/>
                <w:sz w:val="23"/>
                <w:highlight w:val="none"/>
              </w:rPr>
            </w:pPr>
          </w:p>
        </w:tc>
        <w:tc>
          <w:tcPr>
            <w:tcW w:w="801" w:type="dxa"/>
            <w:tcBorders>
              <w:top w:val="single" w:color="000000" w:sz="4" w:space="0"/>
              <w:left w:val="single" w:color="000000" w:sz="4" w:space="0"/>
              <w:bottom w:val="single" w:color="000000" w:sz="4" w:space="0"/>
              <w:right w:val="single" w:color="000000" w:sz="4" w:space="0"/>
            </w:tcBorders>
            <w:noWrap w:val="0"/>
            <w:vAlign w:val="top"/>
          </w:tcPr>
          <w:p w14:paraId="056F0B82">
            <w:pPr>
              <w:shd w:val="clear" w:color="auto" w:fill="auto"/>
              <w:spacing w:line="440" w:lineRule="exact"/>
              <w:jc w:val="center"/>
              <w:rPr>
                <w:rFonts w:hint="eastAsia" w:ascii="宋体" w:hAnsi="宋体" w:eastAsia="宋体" w:cs="宋体"/>
                <w:color w:val="auto"/>
                <w:sz w:val="23"/>
                <w:highlight w:val="none"/>
              </w:rPr>
            </w:pPr>
          </w:p>
        </w:tc>
        <w:tc>
          <w:tcPr>
            <w:tcW w:w="801" w:type="dxa"/>
            <w:tcBorders>
              <w:top w:val="single" w:color="000000" w:sz="4" w:space="0"/>
              <w:left w:val="single" w:color="000000" w:sz="4" w:space="0"/>
              <w:bottom w:val="single" w:color="000000" w:sz="4" w:space="0"/>
              <w:right w:val="single" w:color="000000" w:sz="4" w:space="0"/>
            </w:tcBorders>
            <w:noWrap w:val="0"/>
            <w:vAlign w:val="top"/>
          </w:tcPr>
          <w:p w14:paraId="79F085F8">
            <w:pPr>
              <w:shd w:val="clear" w:color="auto" w:fill="auto"/>
              <w:spacing w:line="440" w:lineRule="exact"/>
              <w:jc w:val="center"/>
              <w:rPr>
                <w:rFonts w:hint="eastAsia" w:ascii="宋体" w:hAnsi="宋体" w:eastAsia="宋体" w:cs="宋体"/>
                <w:color w:val="auto"/>
                <w:sz w:val="23"/>
                <w:highlight w:val="none"/>
              </w:rPr>
            </w:pPr>
          </w:p>
        </w:tc>
        <w:tc>
          <w:tcPr>
            <w:tcW w:w="804" w:type="dxa"/>
            <w:tcBorders>
              <w:top w:val="single" w:color="000000" w:sz="4" w:space="0"/>
              <w:left w:val="single" w:color="000000" w:sz="4" w:space="0"/>
              <w:bottom w:val="single" w:color="000000" w:sz="4" w:space="0"/>
              <w:right w:val="single" w:color="000000" w:sz="4" w:space="0"/>
            </w:tcBorders>
            <w:noWrap w:val="0"/>
            <w:vAlign w:val="top"/>
          </w:tcPr>
          <w:p w14:paraId="01AA5BBD">
            <w:pPr>
              <w:shd w:val="clear" w:color="auto" w:fill="auto"/>
              <w:spacing w:line="440" w:lineRule="exact"/>
              <w:jc w:val="center"/>
              <w:rPr>
                <w:rFonts w:hint="eastAsia" w:ascii="宋体" w:hAnsi="宋体" w:eastAsia="宋体" w:cs="宋体"/>
                <w:color w:val="auto"/>
                <w:sz w:val="23"/>
                <w:highlight w:val="none"/>
              </w:rPr>
            </w:pPr>
          </w:p>
        </w:tc>
      </w:tr>
      <w:tr w14:paraId="05136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top"/>
          </w:tcPr>
          <w:p w14:paraId="45370F79">
            <w:pPr>
              <w:shd w:val="clear" w:color="auto" w:fill="auto"/>
              <w:spacing w:line="440" w:lineRule="exact"/>
              <w:jc w:val="center"/>
              <w:rPr>
                <w:rFonts w:hint="eastAsia" w:ascii="宋体" w:hAnsi="宋体" w:eastAsia="宋体" w:cs="宋体"/>
                <w:color w:val="auto"/>
                <w:sz w:val="23"/>
                <w:highlight w:val="none"/>
              </w:rPr>
            </w:pPr>
          </w:p>
        </w:tc>
        <w:tc>
          <w:tcPr>
            <w:tcW w:w="802" w:type="dxa"/>
            <w:tcBorders>
              <w:top w:val="single" w:color="000000" w:sz="4" w:space="0"/>
              <w:left w:val="single" w:color="000000" w:sz="4" w:space="0"/>
              <w:bottom w:val="single" w:color="000000" w:sz="4" w:space="0"/>
              <w:right w:val="single" w:color="000000" w:sz="4" w:space="0"/>
            </w:tcBorders>
            <w:noWrap w:val="0"/>
            <w:vAlign w:val="top"/>
          </w:tcPr>
          <w:p w14:paraId="0630858B">
            <w:pPr>
              <w:shd w:val="clear" w:color="auto" w:fill="auto"/>
              <w:spacing w:line="440" w:lineRule="exact"/>
              <w:jc w:val="center"/>
              <w:rPr>
                <w:rFonts w:hint="eastAsia" w:ascii="宋体" w:hAnsi="宋体" w:eastAsia="宋体" w:cs="宋体"/>
                <w:color w:val="auto"/>
                <w:sz w:val="23"/>
                <w:highlight w:val="none"/>
              </w:rPr>
            </w:pPr>
          </w:p>
        </w:tc>
        <w:tc>
          <w:tcPr>
            <w:tcW w:w="802" w:type="dxa"/>
            <w:tcBorders>
              <w:top w:val="single" w:color="000000" w:sz="4" w:space="0"/>
              <w:left w:val="single" w:color="000000" w:sz="4" w:space="0"/>
              <w:bottom w:val="single" w:color="000000" w:sz="4" w:space="0"/>
              <w:right w:val="single" w:color="000000" w:sz="4" w:space="0"/>
            </w:tcBorders>
            <w:noWrap w:val="0"/>
            <w:vAlign w:val="top"/>
          </w:tcPr>
          <w:p w14:paraId="1D7B2616">
            <w:pPr>
              <w:shd w:val="clear" w:color="auto" w:fill="auto"/>
              <w:spacing w:line="440" w:lineRule="exact"/>
              <w:jc w:val="center"/>
              <w:rPr>
                <w:rFonts w:hint="eastAsia" w:ascii="宋体" w:hAnsi="宋体" w:eastAsia="宋体" w:cs="宋体"/>
                <w:color w:val="auto"/>
                <w:sz w:val="23"/>
                <w:highlight w:val="none"/>
              </w:rPr>
            </w:pPr>
          </w:p>
        </w:tc>
        <w:tc>
          <w:tcPr>
            <w:tcW w:w="801" w:type="dxa"/>
            <w:tcBorders>
              <w:top w:val="single" w:color="000000" w:sz="4" w:space="0"/>
              <w:left w:val="single" w:color="000000" w:sz="4" w:space="0"/>
              <w:bottom w:val="single" w:color="000000" w:sz="4" w:space="0"/>
              <w:right w:val="single" w:color="000000" w:sz="4" w:space="0"/>
            </w:tcBorders>
            <w:noWrap w:val="0"/>
            <w:vAlign w:val="top"/>
          </w:tcPr>
          <w:p w14:paraId="499C5A70">
            <w:pPr>
              <w:shd w:val="clear" w:color="auto" w:fill="auto"/>
              <w:spacing w:line="440" w:lineRule="exact"/>
              <w:jc w:val="center"/>
              <w:rPr>
                <w:rFonts w:hint="eastAsia" w:ascii="宋体" w:hAnsi="宋体" w:eastAsia="宋体" w:cs="宋体"/>
                <w:color w:val="auto"/>
                <w:sz w:val="23"/>
                <w:highlight w:val="none"/>
              </w:rPr>
            </w:pPr>
          </w:p>
        </w:tc>
        <w:tc>
          <w:tcPr>
            <w:tcW w:w="801" w:type="dxa"/>
            <w:tcBorders>
              <w:top w:val="single" w:color="000000" w:sz="4" w:space="0"/>
              <w:left w:val="single" w:color="000000" w:sz="4" w:space="0"/>
              <w:bottom w:val="single" w:color="000000" w:sz="4" w:space="0"/>
              <w:right w:val="single" w:color="000000" w:sz="4" w:space="0"/>
            </w:tcBorders>
            <w:noWrap w:val="0"/>
            <w:vAlign w:val="top"/>
          </w:tcPr>
          <w:p w14:paraId="12DB759A">
            <w:pPr>
              <w:shd w:val="clear" w:color="auto" w:fill="auto"/>
              <w:spacing w:line="440" w:lineRule="exact"/>
              <w:jc w:val="center"/>
              <w:rPr>
                <w:rFonts w:hint="eastAsia" w:ascii="宋体" w:hAnsi="宋体" w:eastAsia="宋体" w:cs="宋体"/>
                <w:color w:val="auto"/>
                <w:sz w:val="23"/>
                <w:highlight w:val="none"/>
              </w:rPr>
            </w:pPr>
          </w:p>
        </w:tc>
        <w:tc>
          <w:tcPr>
            <w:tcW w:w="801" w:type="dxa"/>
            <w:tcBorders>
              <w:top w:val="single" w:color="000000" w:sz="4" w:space="0"/>
              <w:left w:val="single" w:color="000000" w:sz="4" w:space="0"/>
              <w:bottom w:val="single" w:color="000000" w:sz="4" w:space="0"/>
              <w:right w:val="single" w:color="000000" w:sz="4" w:space="0"/>
            </w:tcBorders>
            <w:noWrap w:val="0"/>
            <w:vAlign w:val="top"/>
          </w:tcPr>
          <w:p w14:paraId="0B4E0C51">
            <w:pPr>
              <w:shd w:val="clear" w:color="auto" w:fill="auto"/>
              <w:spacing w:line="440" w:lineRule="exact"/>
              <w:jc w:val="center"/>
              <w:rPr>
                <w:rFonts w:hint="eastAsia" w:ascii="宋体" w:hAnsi="宋体" w:eastAsia="宋体" w:cs="宋体"/>
                <w:color w:val="auto"/>
                <w:sz w:val="23"/>
                <w:highlight w:val="none"/>
              </w:rPr>
            </w:pPr>
          </w:p>
        </w:tc>
        <w:tc>
          <w:tcPr>
            <w:tcW w:w="801" w:type="dxa"/>
            <w:tcBorders>
              <w:top w:val="single" w:color="000000" w:sz="4" w:space="0"/>
              <w:left w:val="single" w:color="000000" w:sz="4" w:space="0"/>
              <w:bottom w:val="single" w:color="000000" w:sz="4" w:space="0"/>
              <w:right w:val="single" w:color="000000" w:sz="4" w:space="0"/>
            </w:tcBorders>
            <w:noWrap w:val="0"/>
            <w:vAlign w:val="top"/>
          </w:tcPr>
          <w:p w14:paraId="2674BDE4">
            <w:pPr>
              <w:shd w:val="clear" w:color="auto" w:fill="auto"/>
              <w:spacing w:line="440" w:lineRule="exact"/>
              <w:jc w:val="center"/>
              <w:rPr>
                <w:rFonts w:hint="eastAsia" w:ascii="宋体" w:hAnsi="宋体" w:eastAsia="宋体" w:cs="宋体"/>
                <w:color w:val="auto"/>
                <w:sz w:val="23"/>
                <w:highlight w:val="none"/>
              </w:rPr>
            </w:pPr>
          </w:p>
        </w:tc>
        <w:tc>
          <w:tcPr>
            <w:tcW w:w="801" w:type="dxa"/>
            <w:tcBorders>
              <w:top w:val="single" w:color="000000" w:sz="4" w:space="0"/>
              <w:left w:val="single" w:color="000000" w:sz="4" w:space="0"/>
              <w:bottom w:val="single" w:color="000000" w:sz="4" w:space="0"/>
              <w:right w:val="single" w:color="000000" w:sz="4" w:space="0"/>
            </w:tcBorders>
            <w:noWrap w:val="0"/>
            <w:vAlign w:val="top"/>
          </w:tcPr>
          <w:p w14:paraId="7E5E8B6C">
            <w:pPr>
              <w:shd w:val="clear" w:color="auto" w:fill="auto"/>
              <w:spacing w:line="440" w:lineRule="exact"/>
              <w:jc w:val="center"/>
              <w:rPr>
                <w:rFonts w:hint="eastAsia" w:ascii="宋体" w:hAnsi="宋体" w:eastAsia="宋体" w:cs="宋体"/>
                <w:color w:val="auto"/>
                <w:sz w:val="23"/>
                <w:highlight w:val="none"/>
              </w:rPr>
            </w:pPr>
          </w:p>
        </w:tc>
        <w:tc>
          <w:tcPr>
            <w:tcW w:w="801" w:type="dxa"/>
            <w:tcBorders>
              <w:top w:val="single" w:color="000000" w:sz="4" w:space="0"/>
              <w:left w:val="single" w:color="000000" w:sz="4" w:space="0"/>
              <w:bottom w:val="single" w:color="000000" w:sz="4" w:space="0"/>
              <w:right w:val="single" w:color="000000" w:sz="4" w:space="0"/>
            </w:tcBorders>
            <w:noWrap w:val="0"/>
            <w:vAlign w:val="top"/>
          </w:tcPr>
          <w:p w14:paraId="4C8A6B52">
            <w:pPr>
              <w:shd w:val="clear" w:color="auto" w:fill="auto"/>
              <w:spacing w:line="440" w:lineRule="exact"/>
              <w:jc w:val="center"/>
              <w:rPr>
                <w:rFonts w:hint="eastAsia" w:ascii="宋体" w:hAnsi="宋体" w:eastAsia="宋体" w:cs="宋体"/>
                <w:color w:val="auto"/>
                <w:sz w:val="23"/>
                <w:highlight w:val="none"/>
              </w:rPr>
            </w:pPr>
          </w:p>
        </w:tc>
        <w:tc>
          <w:tcPr>
            <w:tcW w:w="801" w:type="dxa"/>
            <w:tcBorders>
              <w:top w:val="single" w:color="000000" w:sz="4" w:space="0"/>
              <w:left w:val="single" w:color="000000" w:sz="4" w:space="0"/>
              <w:bottom w:val="single" w:color="000000" w:sz="4" w:space="0"/>
              <w:right w:val="single" w:color="000000" w:sz="4" w:space="0"/>
            </w:tcBorders>
            <w:noWrap w:val="0"/>
            <w:vAlign w:val="top"/>
          </w:tcPr>
          <w:p w14:paraId="31EBF598">
            <w:pPr>
              <w:shd w:val="clear" w:color="auto" w:fill="auto"/>
              <w:spacing w:line="440" w:lineRule="exact"/>
              <w:jc w:val="center"/>
              <w:rPr>
                <w:rFonts w:hint="eastAsia" w:ascii="宋体" w:hAnsi="宋体" w:eastAsia="宋体" w:cs="宋体"/>
                <w:color w:val="auto"/>
                <w:sz w:val="23"/>
                <w:highlight w:val="none"/>
              </w:rPr>
            </w:pPr>
          </w:p>
        </w:tc>
        <w:tc>
          <w:tcPr>
            <w:tcW w:w="801" w:type="dxa"/>
            <w:tcBorders>
              <w:top w:val="single" w:color="000000" w:sz="4" w:space="0"/>
              <w:left w:val="single" w:color="000000" w:sz="4" w:space="0"/>
              <w:bottom w:val="single" w:color="000000" w:sz="4" w:space="0"/>
              <w:right w:val="single" w:color="000000" w:sz="4" w:space="0"/>
            </w:tcBorders>
            <w:noWrap w:val="0"/>
            <w:vAlign w:val="top"/>
          </w:tcPr>
          <w:p w14:paraId="1E0A660A">
            <w:pPr>
              <w:shd w:val="clear" w:color="auto" w:fill="auto"/>
              <w:spacing w:line="440" w:lineRule="exact"/>
              <w:jc w:val="center"/>
              <w:rPr>
                <w:rFonts w:hint="eastAsia" w:ascii="宋体" w:hAnsi="宋体" w:eastAsia="宋体" w:cs="宋体"/>
                <w:color w:val="auto"/>
                <w:sz w:val="23"/>
                <w:highlight w:val="none"/>
              </w:rPr>
            </w:pPr>
          </w:p>
        </w:tc>
        <w:tc>
          <w:tcPr>
            <w:tcW w:w="804" w:type="dxa"/>
            <w:tcBorders>
              <w:top w:val="single" w:color="000000" w:sz="4" w:space="0"/>
              <w:left w:val="single" w:color="000000" w:sz="4" w:space="0"/>
              <w:bottom w:val="single" w:color="000000" w:sz="4" w:space="0"/>
              <w:right w:val="single" w:color="000000" w:sz="4" w:space="0"/>
            </w:tcBorders>
            <w:noWrap w:val="0"/>
            <w:vAlign w:val="top"/>
          </w:tcPr>
          <w:p w14:paraId="656CAB2F">
            <w:pPr>
              <w:shd w:val="clear" w:color="auto" w:fill="auto"/>
              <w:spacing w:line="440" w:lineRule="exact"/>
              <w:jc w:val="center"/>
              <w:rPr>
                <w:rFonts w:hint="eastAsia" w:ascii="宋体" w:hAnsi="宋体" w:eastAsia="宋体" w:cs="宋体"/>
                <w:color w:val="auto"/>
                <w:sz w:val="23"/>
                <w:highlight w:val="none"/>
              </w:rPr>
            </w:pPr>
          </w:p>
        </w:tc>
      </w:tr>
      <w:tr w14:paraId="37D95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jc w:val="center"/>
        </w:trPr>
        <w:tc>
          <w:tcPr>
            <w:tcW w:w="802" w:type="dxa"/>
            <w:tcBorders>
              <w:top w:val="single" w:color="000000" w:sz="4" w:space="0"/>
              <w:left w:val="single" w:color="000000" w:sz="4" w:space="0"/>
              <w:bottom w:val="single" w:color="000000" w:sz="4" w:space="0"/>
              <w:right w:val="single" w:color="000000" w:sz="4" w:space="0"/>
            </w:tcBorders>
            <w:noWrap w:val="0"/>
            <w:vAlign w:val="top"/>
          </w:tcPr>
          <w:p w14:paraId="35A735EF">
            <w:pPr>
              <w:shd w:val="clear" w:color="auto" w:fill="auto"/>
              <w:spacing w:line="440" w:lineRule="exact"/>
              <w:jc w:val="center"/>
              <w:rPr>
                <w:rFonts w:hint="eastAsia" w:ascii="宋体" w:hAnsi="宋体" w:eastAsia="宋体" w:cs="宋体"/>
                <w:color w:val="auto"/>
                <w:sz w:val="23"/>
                <w:highlight w:val="none"/>
              </w:rPr>
            </w:pPr>
          </w:p>
        </w:tc>
        <w:tc>
          <w:tcPr>
            <w:tcW w:w="802" w:type="dxa"/>
            <w:tcBorders>
              <w:top w:val="single" w:color="000000" w:sz="4" w:space="0"/>
              <w:left w:val="single" w:color="000000" w:sz="4" w:space="0"/>
              <w:bottom w:val="single" w:color="000000" w:sz="4" w:space="0"/>
              <w:right w:val="single" w:color="000000" w:sz="4" w:space="0"/>
            </w:tcBorders>
            <w:noWrap w:val="0"/>
            <w:vAlign w:val="top"/>
          </w:tcPr>
          <w:p w14:paraId="0CB4DDDD">
            <w:pPr>
              <w:shd w:val="clear" w:color="auto" w:fill="auto"/>
              <w:spacing w:line="440" w:lineRule="exact"/>
              <w:jc w:val="center"/>
              <w:rPr>
                <w:rFonts w:hint="eastAsia" w:ascii="宋体" w:hAnsi="宋体" w:eastAsia="宋体" w:cs="宋体"/>
                <w:color w:val="auto"/>
                <w:sz w:val="23"/>
                <w:highlight w:val="none"/>
              </w:rPr>
            </w:pPr>
          </w:p>
        </w:tc>
        <w:tc>
          <w:tcPr>
            <w:tcW w:w="802" w:type="dxa"/>
            <w:tcBorders>
              <w:top w:val="single" w:color="000000" w:sz="4" w:space="0"/>
              <w:left w:val="single" w:color="000000" w:sz="4" w:space="0"/>
              <w:bottom w:val="single" w:color="000000" w:sz="4" w:space="0"/>
              <w:right w:val="single" w:color="000000" w:sz="4" w:space="0"/>
            </w:tcBorders>
            <w:noWrap w:val="0"/>
            <w:vAlign w:val="top"/>
          </w:tcPr>
          <w:p w14:paraId="5C0F306A">
            <w:pPr>
              <w:shd w:val="clear" w:color="auto" w:fill="auto"/>
              <w:spacing w:line="440" w:lineRule="exact"/>
              <w:jc w:val="center"/>
              <w:rPr>
                <w:rFonts w:hint="eastAsia" w:ascii="宋体" w:hAnsi="宋体" w:eastAsia="宋体" w:cs="宋体"/>
                <w:color w:val="auto"/>
                <w:sz w:val="23"/>
                <w:highlight w:val="none"/>
              </w:rPr>
            </w:pPr>
          </w:p>
        </w:tc>
        <w:tc>
          <w:tcPr>
            <w:tcW w:w="801" w:type="dxa"/>
            <w:tcBorders>
              <w:top w:val="single" w:color="000000" w:sz="4" w:space="0"/>
              <w:left w:val="single" w:color="000000" w:sz="4" w:space="0"/>
              <w:bottom w:val="single" w:color="000000" w:sz="4" w:space="0"/>
              <w:right w:val="single" w:color="000000" w:sz="4" w:space="0"/>
            </w:tcBorders>
            <w:noWrap w:val="0"/>
            <w:vAlign w:val="top"/>
          </w:tcPr>
          <w:p w14:paraId="798E71F3">
            <w:pPr>
              <w:shd w:val="clear" w:color="auto" w:fill="auto"/>
              <w:spacing w:line="440" w:lineRule="exact"/>
              <w:jc w:val="center"/>
              <w:rPr>
                <w:rFonts w:hint="eastAsia" w:ascii="宋体" w:hAnsi="宋体" w:eastAsia="宋体" w:cs="宋体"/>
                <w:color w:val="auto"/>
                <w:sz w:val="23"/>
                <w:highlight w:val="none"/>
              </w:rPr>
            </w:pPr>
          </w:p>
        </w:tc>
        <w:tc>
          <w:tcPr>
            <w:tcW w:w="801" w:type="dxa"/>
            <w:tcBorders>
              <w:top w:val="single" w:color="000000" w:sz="4" w:space="0"/>
              <w:left w:val="single" w:color="000000" w:sz="4" w:space="0"/>
              <w:bottom w:val="single" w:color="000000" w:sz="4" w:space="0"/>
              <w:right w:val="single" w:color="000000" w:sz="4" w:space="0"/>
            </w:tcBorders>
            <w:noWrap w:val="0"/>
            <w:vAlign w:val="top"/>
          </w:tcPr>
          <w:p w14:paraId="52D1E21C">
            <w:pPr>
              <w:shd w:val="clear" w:color="auto" w:fill="auto"/>
              <w:spacing w:line="440" w:lineRule="exact"/>
              <w:jc w:val="center"/>
              <w:rPr>
                <w:rFonts w:hint="eastAsia" w:ascii="宋体" w:hAnsi="宋体" w:eastAsia="宋体" w:cs="宋体"/>
                <w:color w:val="auto"/>
                <w:sz w:val="23"/>
                <w:highlight w:val="none"/>
              </w:rPr>
            </w:pPr>
          </w:p>
        </w:tc>
        <w:tc>
          <w:tcPr>
            <w:tcW w:w="801" w:type="dxa"/>
            <w:tcBorders>
              <w:top w:val="single" w:color="000000" w:sz="4" w:space="0"/>
              <w:left w:val="single" w:color="000000" w:sz="4" w:space="0"/>
              <w:bottom w:val="single" w:color="000000" w:sz="4" w:space="0"/>
              <w:right w:val="single" w:color="000000" w:sz="4" w:space="0"/>
            </w:tcBorders>
            <w:noWrap w:val="0"/>
            <w:vAlign w:val="top"/>
          </w:tcPr>
          <w:p w14:paraId="6ACB6A91">
            <w:pPr>
              <w:shd w:val="clear" w:color="auto" w:fill="auto"/>
              <w:spacing w:line="440" w:lineRule="exact"/>
              <w:jc w:val="center"/>
              <w:rPr>
                <w:rFonts w:hint="eastAsia" w:ascii="宋体" w:hAnsi="宋体" w:eastAsia="宋体" w:cs="宋体"/>
                <w:color w:val="auto"/>
                <w:sz w:val="23"/>
                <w:highlight w:val="none"/>
              </w:rPr>
            </w:pPr>
          </w:p>
        </w:tc>
        <w:tc>
          <w:tcPr>
            <w:tcW w:w="801" w:type="dxa"/>
            <w:tcBorders>
              <w:top w:val="single" w:color="000000" w:sz="4" w:space="0"/>
              <w:left w:val="single" w:color="000000" w:sz="4" w:space="0"/>
              <w:bottom w:val="single" w:color="000000" w:sz="4" w:space="0"/>
              <w:right w:val="single" w:color="000000" w:sz="4" w:space="0"/>
            </w:tcBorders>
            <w:noWrap w:val="0"/>
            <w:vAlign w:val="top"/>
          </w:tcPr>
          <w:p w14:paraId="655DD829">
            <w:pPr>
              <w:shd w:val="clear" w:color="auto" w:fill="auto"/>
              <w:spacing w:line="440" w:lineRule="exact"/>
              <w:jc w:val="center"/>
              <w:rPr>
                <w:rFonts w:hint="eastAsia" w:ascii="宋体" w:hAnsi="宋体" w:eastAsia="宋体" w:cs="宋体"/>
                <w:color w:val="auto"/>
                <w:sz w:val="23"/>
                <w:highlight w:val="none"/>
              </w:rPr>
            </w:pPr>
          </w:p>
        </w:tc>
        <w:tc>
          <w:tcPr>
            <w:tcW w:w="801" w:type="dxa"/>
            <w:tcBorders>
              <w:top w:val="single" w:color="000000" w:sz="4" w:space="0"/>
              <w:left w:val="single" w:color="000000" w:sz="4" w:space="0"/>
              <w:bottom w:val="single" w:color="000000" w:sz="4" w:space="0"/>
              <w:right w:val="single" w:color="000000" w:sz="4" w:space="0"/>
            </w:tcBorders>
            <w:noWrap w:val="0"/>
            <w:vAlign w:val="top"/>
          </w:tcPr>
          <w:p w14:paraId="359B8BAC">
            <w:pPr>
              <w:shd w:val="clear" w:color="auto" w:fill="auto"/>
              <w:spacing w:line="440" w:lineRule="exact"/>
              <w:jc w:val="center"/>
              <w:rPr>
                <w:rFonts w:hint="eastAsia" w:ascii="宋体" w:hAnsi="宋体" w:eastAsia="宋体" w:cs="宋体"/>
                <w:color w:val="auto"/>
                <w:sz w:val="23"/>
                <w:highlight w:val="none"/>
              </w:rPr>
            </w:pPr>
          </w:p>
        </w:tc>
        <w:tc>
          <w:tcPr>
            <w:tcW w:w="801" w:type="dxa"/>
            <w:tcBorders>
              <w:top w:val="single" w:color="000000" w:sz="4" w:space="0"/>
              <w:left w:val="single" w:color="000000" w:sz="4" w:space="0"/>
              <w:bottom w:val="single" w:color="000000" w:sz="4" w:space="0"/>
              <w:right w:val="single" w:color="000000" w:sz="4" w:space="0"/>
            </w:tcBorders>
            <w:noWrap w:val="0"/>
            <w:vAlign w:val="top"/>
          </w:tcPr>
          <w:p w14:paraId="6F505EE7">
            <w:pPr>
              <w:shd w:val="clear" w:color="auto" w:fill="auto"/>
              <w:spacing w:line="440" w:lineRule="exact"/>
              <w:jc w:val="center"/>
              <w:rPr>
                <w:rFonts w:hint="eastAsia" w:ascii="宋体" w:hAnsi="宋体" w:eastAsia="宋体" w:cs="宋体"/>
                <w:color w:val="auto"/>
                <w:sz w:val="23"/>
                <w:highlight w:val="none"/>
              </w:rPr>
            </w:pPr>
          </w:p>
        </w:tc>
        <w:tc>
          <w:tcPr>
            <w:tcW w:w="801" w:type="dxa"/>
            <w:tcBorders>
              <w:top w:val="single" w:color="000000" w:sz="4" w:space="0"/>
              <w:left w:val="single" w:color="000000" w:sz="4" w:space="0"/>
              <w:bottom w:val="single" w:color="000000" w:sz="4" w:space="0"/>
              <w:right w:val="single" w:color="000000" w:sz="4" w:space="0"/>
            </w:tcBorders>
            <w:noWrap w:val="0"/>
            <w:vAlign w:val="top"/>
          </w:tcPr>
          <w:p w14:paraId="0D256D66">
            <w:pPr>
              <w:shd w:val="clear" w:color="auto" w:fill="auto"/>
              <w:spacing w:line="440" w:lineRule="exact"/>
              <w:jc w:val="center"/>
              <w:rPr>
                <w:rFonts w:hint="eastAsia" w:ascii="宋体" w:hAnsi="宋体" w:eastAsia="宋体" w:cs="宋体"/>
                <w:color w:val="auto"/>
                <w:sz w:val="23"/>
                <w:highlight w:val="none"/>
              </w:rPr>
            </w:pPr>
          </w:p>
        </w:tc>
        <w:tc>
          <w:tcPr>
            <w:tcW w:w="801" w:type="dxa"/>
            <w:tcBorders>
              <w:top w:val="single" w:color="000000" w:sz="4" w:space="0"/>
              <w:left w:val="single" w:color="000000" w:sz="4" w:space="0"/>
              <w:bottom w:val="single" w:color="000000" w:sz="4" w:space="0"/>
              <w:right w:val="single" w:color="000000" w:sz="4" w:space="0"/>
            </w:tcBorders>
            <w:noWrap w:val="0"/>
            <w:vAlign w:val="top"/>
          </w:tcPr>
          <w:p w14:paraId="454AA4D6">
            <w:pPr>
              <w:shd w:val="clear" w:color="auto" w:fill="auto"/>
              <w:spacing w:line="440" w:lineRule="exact"/>
              <w:jc w:val="center"/>
              <w:rPr>
                <w:rFonts w:hint="eastAsia" w:ascii="宋体" w:hAnsi="宋体" w:eastAsia="宋体" w:cs="宋体"/>
                <w:color w:val="auto"/>
                <w:sz w:val="23"/>
                <w:highlight w:val="none"/>
              </w:rPr>
            </w:pPr>
          </w:p>
        </w:tc>
        <w:tc>
          <w:tcPr>
            <w:tcW w:w="804" w:type="dxa"/>
            <w:tcBorders>
              <w:top w:val="single" w:color="000000" w:sz="4" w:space="0"/>
              <w:left w:val="single" w:color="000000" w:sz="4" w:space="0"/>
              <w:bottom w:val="single" w:color="000000" w:sz="4" w:space="0"/>
              <w:right w:val="single" w:color="000000" w:sz="4" w:space="0"/>
            </w:tcBorders>
            <w:noWrap w:val="0"/>
            <w:vAlign w:val="top"/>
          </w:tcPr>
          <w:p w14:paraId="2F8D146B">
            <w:pPr>
              <w:shd w:val="clear" w:color="auto" w:fill="auto"/>
              <w:spacing w:line="440" w:lineRule="exact"/>
              <w:jc w:val="center"/>
              <w:rPr>
                <w:rFonts w:hint="eastAsia" w:ascii="宋体" w:hAnsi="宋体" w:eastAsia="宋体" w:cs="宋体"/>
                <w:color w:val="auto"/>
                <w:sz w:val="23"/>
                <w:highlight w:val="none"/>
              </w:rPr>
            </w:pPr>
          </w:p>
        </w:tc>
      </w:tr>
    </w:tbl>
    <w:p w14:paraId="00A50391">
      <w:pPr>
        <w:spacing w:line="360" w:lineRule="auto"/>
        <w:rPr>
          <w:rFonts w:hint="eastAsia" w:ascii="宋体" w:hAnsi="宋体" w:eastAsia="宋体" w:cs="宋体"/>
          <w:color w:val="auto"/>
          <w:szCs w:val="21"/>
          <w:highlight w:val="none"/>
        </w:rPr>
      </w:pPr>
    </w:p>
    <w:p w14:paraId="53961B00">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磋商供应商全称（盖章）：</w:t>
      </w:r>
    </w:p>
    <w:p w14:paraId="0E2C7F8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法定代表人或者授权代表（签字或盖章）：                    </w:t>
      </w:r>
    </w:p>
    <w:p w14:paraId="3BEF645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7847F551">
      <w:pPr>
        <w:spacing w:line="360" w:lineRule="auto"/>
        <w:rPr>
          <w:rFonts w:hint="eastAsia" w:ascii="宋体" w:hAnsi="宋体" w:eastAsia="宋体" w:cs="宋体"/>
          <w:color w:val="auto"/>
          <w:szCs w:val="21"/>
          <w:highlight w:val="none"/>
        </w:rPr>
      </w:pPr>
    </w:p>
    <w:p w14:paraId="1EE5C75E">
      <w:pPr>
        <w:spacing w:line="360" w:lineRule="auto"/>
        <w:rPr>
          <w:rFonts w:hint="eastAsia" w:ascii="宋体" w:hAnsi="宋体" w:eastAsia="宋体" w:cs="宋体"/>
          <w:color w:val="auto"/>
          <w:szCs w:val="21"/>
          <w:highlight w:val="none"/>
        </w:rPr>
      </w:pPr>
    </w:p>
    <w:p w14:paraId="2178FEB4">
      <w:pPr>
        <w:rPr>
          <w:rFonts w:hint="eastAsia" w:ascii="宋体" w:hAnsi="宋体" w:eastAsia="宋体" w:cs="宋体"/>
          <w:color w:val="auto"/>
          <w:highlight w:val="none"/>
        </w:rPr>
      </w:pPr>
      <w:r>
        <w:rPr>
          <w:rFonts w:hint="eastAsia" w:ascii="宋体" w:hAnsi="宋体" w:eastAsia="宋体" w:cs="宋体"/>
          <w:color w:val="auto"/>
          <w:szCs w:val="21"/>
          <w:highlight w:val="none"/>
        </w:rPr>
        <w:t>注：</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highlight w:val="none"/>
        </w:rPr>
        <w:t>应随此表附上相关的业绩证明(如合同等)。</w:t>
      </w:r>
    </w:p>
    <w:p w14:paraId="7D03884C">
      <w:pPr>
        <w:spacing w:line="360" w:lineRule="auto"/>
        <w:rPr>
          <w:rFonts w:hint="eastAsia" w:ascii="宋体" w:hAnsi="宋体" w:eastAsia="宋体" w:cs="宋体"/>
          <w:color w:val="auto"/>
          <w:kern w:val="0"/>
          <w:szCs w:val="21"/>
          <w:highlight w:val="none"/>
        </w:rPr>
      </w:pPr>
    </w:p>
    <w:p w14:paraId="4B81FA90">
      <w:pPr>
        <w:spacing w:line="360" w:lineRule="auto"/>
        <w:ind w:firstLine="420" w:firstLineChars="200"/>
        <w:jc w:val="left"/>
        <w:rPr>
          <w:rFonts w:hint="eastAsia" w:ascii="宋体" w:hAnsi="宋体" w:eastAsia="宋体" w:cs="宋体"/>
          <w:color w:val="auto"/>
          <w:highlight w:val="none"/>
        </w:rPr>
      </w:pPr>
    </w:p>
    <w:p w14:paraId="6E49B1ED">
      <w:pPr>
        <w:jc w:val="center"/>
        <w:rPr>
          <w:rFonts w:hint="eastAsia" w:ascii="宋体" w:hAnsi="宋体" w:eastAsia="宋体" w:cs="宋体"/>
          <w:b/>
          <w:color w:val="auto"/>
          <w:szCs w:val="21"/>
          <w:highlight w:val="none"/>
        </w:rPr>
      </w:pPr>
    </w:p>
    <w:p w14:paraId="69846C63">
      <w:pPr>
        <w:jc w:val="center"/>
        <w:rPr>
          <w:rFonts w:hint="eastAsia" w:ascii="宋体" w:hAnsi="宋体" w:eastAsia="宋体" w:cs="宋体"/>
          <w:b/>
          <w:color w:val="auto"/>
          <w:szCs w:val="21"/>
          <w:highlight w:val="none"/>
        </w:rPr>
      </w:pPr>
    </w:p>
    <w:p w14:paraId="445FB20B">
      <w:pPr>
        <w:jc w:val="center"/>
        <w:rPr>
          <w:rFonts w:hint="eastAsia" w:ascii="宋体" w:hAnsi="宋体" w:eastAsia="宋体" w:cs="宋体"/>
          <w:b/>
          <w:color w:val="auto"/>
          <w:szCs w:val="21"/>
          <w:highlight w:val="none"/>
        </w:rPr>
      </w:pPr>
    </w:p>
    <w:p w14:paraId="7ADCCE09">
      <w:pPr>
        <w:pStyle w:val="18"/>
        <w:ind w:left="0" w:leftChars="0" w:firstLine="0" w:firstLineChars="0"/>
        <w:rPr>
          <w:rFonts w:hint="eastAsia" w:ascii="宋体" w:hAnsi="宋体" w:eastAsia="宋体" w:cs="宋体"/>
          <w:b/>
          <w:color w:val="auto"/>
          <w:szCs w:val="21"/>
          <w:highlight w:val="none"/>
        </w:rPr>
      </w:pPr>
    </w:p>
    <w:p w14:paraId="207CA615">
      <w:pPr>
        <w:pStyle w:val="2"/>
        <w:ind w:firstLine="0" w:firstLineChars="0"/>
        <w:rPr>
          <w:rFonts w:hint="eastAsia" w:ascii="宋体" w:hAnsi="宋体" w:eastAsia="宋体" w:cs="宋体"/>
          <w:b/>
          <w:color w:val="auto"/>
          <w:szCs w:val="21"/>
          <w:highlight w:val="none"/>
        </w:rPr>
      </w:pPr>
    </w:p>
    <w:p w14:paraId="6191DE9B">
      <w:pPr>
        <w:rPr>
          <w:rFonts w:hint="eastAsia" w:ascii="宋体" w:hAnsi="宋体" w:eastAsia="宋体" w:cs="宋体"/>
          <w:color w:val="auto"/>
          <w:highlight w:val="none"/>
        </w:rPr>
      </w:pPr>
    </w:p>
    <w:p w14:paraId="7B574F5F">
      <w:pPr>
        <w:spacing w:line="360" w:lineRule="auto"/>
        <w:jc w:val="center"/>
        <w:rPr>
          <w:rFonts w:hint="eastAsia" w:ascii="宋体" w:hAnsi="宋体" w:eastAsia="宋体" w:cs="宋体"/>
          <w:b/>
          <w:color w:val="auto"/>
          <w:szCs w:val="21"/>
          <w:highlight w:val="none"/>
          <w:lang w:val="en-US" w:eastAsia="zh-CN"/>
        </w:rPr>
      </w:pPr>
    </w:p>
    <w:p w14:paraId="602E69AD">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十</w:t>
      </w:r>
      <w:r>
        <w:rPr>
          <w:rFonts w:hint="eastAsia" w:ascii="宋体" w:hAnsi="宋体" w:eastAsia="宋体" w:cs="宋体"/>
          <w:b/>
          <w:color w:val="auto"/>
          <w:szCs w:val="21"/>
          <w:highlight w:val="none"/>
        </w:rPr>
        <w:t>、供应商参加磋商确认函</w:t>
      </w:r>
    </w:p>
    <w:p w14:paraId="07F87F0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江苏汇诚投资咨询管理有限公司：</w:t>
      </w:r>
    </w:p>
    <w:p w14:paraId="5921BC9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本单位将参加贵公司项目（采购）编号为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项目的</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。本单位已在网上成功下载</w:t>
      </w:r>
      <w:r>
        <w:rPr>
          <w:rFonts w:hint="eastAsia" w:ascii="宋体" w:hAnsi="宋体" w:eastAsia="宋体" w:cs="宋体"/>
          <w:color w:val="auto"/>
          <w:szCs w:val="21"/>
          <w:highlight w:val="none"/>
          <w:lang w:val="en-US" w:eastAsia="zh-CN"/>
        </w:rPr>
        <w:t>竞争性磋商文件</w:t>
      </w:r>
      <w:r>
        <w:rPr>
          <w:rFonts w:hint="eastAsia" w:ascii="宋体" w:hAnsi="宋体" w:eastAsia="宋体" w:cs="宋体"/>
          <w:color w:val="auto"/>
          <w:szCs w:val="21"/>
          <w:highlight w:val="none"/>
        </w:rPr>
        <w:t>，特发函确认。</w:t>
      </w:r>
    </w:p>
    <w:p w14:paraId="38DFA51F">
      <w:pPr>
        <w:spacing w:line="360" w:lineRule="auto"/>
        <w:rPr>
          <w:rFonts w:hint="eastAsia" w:ascii="宋体" w:hAnsi="宋体" w:eastAsia="宋体" w:cs="宋体"/>
          <w:color w:val="auto"/>
          <w:szCs w:val="21"/>
          <w:highlight w:val="none"/>
        </w:rPr>
      </w:pPr>
    </w:p>
    <w:p w14:paraId="2D07FA51">
      <w:pPr>
        <w:spacing w:line="360" w:lineRule="auto"/>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（单位公章）</w:t>
      </w:r>
    </w:p>
    <w:p w14:paraId="200CB0A6">
      <w:pPr>
        <w:pBdr>
          <w:bottom w:val="single" w:color="auto" w:sz="6" w:space="1"/>
        </w:pBdr>
        <w:spacing w:line="360" w:lineRule="auto"/>
        <w:ind w:left="3465" w:hanging="3465" w:hangingChars="16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5C1AA271">
      <w:pPr>
        <w:ind w:left="3465" w:hanging="3465" w:hangingChars="165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w:t>
      </w:r>
    </w:p>
    <w:p w14:paraId="542AFF4F">
      <w:pPr>
        <w:spacing w:line="360" w:lineRule="auto"/>
        <w:ind w:left="3479" w:hanging="3479" w:hangingChars="165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供应商联系表</w:t>
      </w:r>
    </w:p>
    <w:tbl>
      <w:tblPr>
        <w:tblStyle w:val="3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3025"/>
        <w:gridCol w:w="1426"/>
        <w:gridCol w:w="2959"/>
      </w:tblGrid>
      <w:tr w14:paraId="2F187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228" w:type="dxa"/>
            <w:vAlign w:val="center"/>
          </w:tcPr>
          <w:p w14:paraId="16B2FF9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w:t>
            </w:r>
          </w:p>
        </w:tc>
        <w:tc>
          <w:tcPr>
            <w:tcW w:w="7410" w:type="dxa"/>
            <w:gridSpan w:val="3"/>
            <w:vAlign w:val="center"/>
          </w:tcPr>
          <w:p w14:paraId="23D00061">
            <w:pPr>
              <w:spacing w:line="360" w:lineRule="auto"/>
              <w:jc w:val="center"/>
              <w:rPr>
                <w:rFonts w:hint="eastAsia" w:ascii="宋体" w:hAnsi="宋体" w:eastAsia="宋体" w:cs="宋体"/>
                <w:color w:val="auto"/>
                <w:szCs w:val="21"/>
                <w:highlight w:val="none"/>
              </w:rPr>
            </w:pPr>
          </w:p>
        </w:tc>
      </w:tr>
      <w:tr w14:paraId="18D80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228" w:type="dxa"/>
            <w:vAlign w:val="center"/>
          </w:tcPr>
          <w:p w14:paraId="64620D3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tc>
        <w:tc>
          <w:tcPr>
            <w:tcW w:w="7410" w:type="dxa"/>
            <w:gridSpan w:val="3"/>
            <w:vAlign w:val="center"/>
          </w:tcPr>
          <w:p w14:paraId="68384AEB">
            <w:pPr>
              <w:spacing w:line="360" w:lineRule="auto"/>
              <w:jc w:val="center"/>
              <w:rPr>
                <w:rFonts w:hint="eastAsia" w:ascii="宋体" w:hAnsi="宋体" w:eastAsia="宋体" w:cs="宋体"/>
                <w:color w:val="auto"/>
                <w:szCs w:val="21"/>
                <w:highlight w:val="none"/>
              </w:rPr>
            </w:pPr>
          </w:p>
        </w:tc>
      </w:tr>
      <w:tr w14:paraId="6F5A0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228" w:type="dxa"/>
            <w:vAlign w:val="center"/>
          </w:tcPr>
          <w:p w14:paraId="5D8A322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3025" w:type="dxa"/>
            <w:vAlign w:val="center"/>
          </w:tcPr>
          <w:p w14:paraId="51FC07C1">
            <w:pPr>
              <w:spacing w:line="360" w:lineRule="auto"/>
              <w:jc w:val="center"/>
              <w:rPr>
                <w:rFonts w:hint="eastAsia" w:ascii="宋体" w:hAnsi="宋体" w:eastAsia="宋体" w:cs="宋体"/>
                <w:color w:val="auto"/>
                <w:szCs w:val="21"/>
                <w:highlight w:val="none"/>
              </w:rPr>
            </w:pPr>
          </w:p>
        </w:tc>
        <w:tc>
          <w:tcPr>
            <w:tcW w:w="1426" w:type="dxa"/>
            <w:vAlign w:val="center"/>
          </w:tcPr>
          <w:p w14:paraId="60F625A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单位电话</w:t>
            </w:r>
          </w:p>
        </w:tc>
        <w:tc>
          <w:tcPr>
            <w:tcW w:w="2959" w:type="dxa"/>
            <w:vAlign w:val="center"/>
          </w:tcPr>
          <w:p w14:paraId="0A6D59B7">
            <w:pPr>
              <w:spacing w:line="360" w:lineRule="auto"/>
              <w:jc w:val="center"/>
              <w:rPr>
                <w:rFonts w:hint="eastAsia" w:ascii="宋体" w:hAnsi="宋体" w:eastAsia="宋体" w:cs="宋体"/>
                <w:color w:val="auto"/>
                <w:szCs w:val="21"/>
                <w:highlight w:val="none"/>
              </w:rPr>
            </w:pPr>
          </w:p>
        </w:tc>
      </w:tr>
      <w:tr w14:paraId="2379D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28" w:type="dxa"/>
            <w:vAlign w:val="center"/>
          </w:tcPr>
          <w:p w14:paraId="7937F61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项目联系人</w:t>
            </w:r>
          </w:p>
        </w:tc>
        <w:tc>
          <w:tcPr>
            <w:tcW w:w="3025" w:type="dxa"/>
            <w:vAlign w:val="center"/>
          </w:tcPr>
          <w:p w14:paraId="724075F5">
            <w:pPr>
              <w:spacing w:line="360" w:lineRule="auto"/>
              <w:jc w:val="center"/>
              <w:rPr>
                <w:rFonts w:hint="eastAsia" w:ascii="宋体" w:hAnsi="宋体" w:eastAsia="宋体" w:cs="宋体"/>
                <w:color w:val="auto"/>
                <w:szCs w:val="21"/>
                <w:highlight w:val="none"/>
              </w:rPr>
            </w:pPr>
          </w:p>
        </w:tc>
        <w:tc>
          <w:tcPr>
            <w:tcW w:w="1426" w:type="dxa"/>
            <w:vAlign w:val="center"/>
          </w:tcPr>
          <w:p w14:paraId="5B017D1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    箱</w:t>
            </w:r>
          </w:p>
        </w:tc>
        <w:tc>
          <w:tcPr>
            <w:tcW w:w="2959" w:type="dxa"/>
            <w:vAlign w:val="center"/>
          </w:tcPr>
          <w:p w14:paraId="61428034">
            <w:pPr>
              <w:spacing w:line="360" w:lineRule="auto"/>
              <w:jc w:val="center"/>
              <w:rPr>
                <w:rFonts w:hint="eastAsia" w:ascii="宋体" w:hAnsi="宋体" w:eastAsia="宋体" w:cs="宋体"/>
                <w:color w:val="auto"/>
                <w:szCs w:val="21"/>
                <w:highlight w:val="none"/>
              </w:rPr>
            </w:pPr>
          </w:p>
        </w:tc>
      </w:tr>
      <w:tr w14:paraId="5133D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228" w:type="dxa"/>
            <w:vAlign w:val="center"/>
          </w:tcPr>
          <w:p w14:paraId="107725A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联系人固定电话</w:t>
            </w:r>
          </w:p>
        </w:tc>
        <w:tc>
          <w:tcPr>
            <w:tcW w:w="3025" w:type="dxa"/>
            <w:vAlign w:val="center"/>
          </w:tcPr>
          <w:p w14:paraId="04AD7EF8">
            <w:pPr>
              <w:spacing w:line="360" w:lineRule="auto"/>
              <w:jc w:val="center"/>
              <w:rPr>
                <w:rFonts w:hint="eastAsia" w:ascii="宋体" w:hAnsi="宋体" w:eastAsia="宋体" w:cs="宋体"/>
                <w:color w:val="auto"/>
                <w:szCs w:val="21"/>
                <w:highlight w:val="none"/>
              </w:rPr>
            </w:pPr>
          </w:p>
        </w:tc>
        <w:tc>
          <w:tcPr>
            <w:tcW w:w="1426" w:type="dxa"/>
            <w:vAlign w:val="center"/>
          </w:tcPr>
          <w:p w14:paraId="3ECDEE0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联系人手机</w:t>
            </w:r>
          </w:p>
        </w:tc>
        <w:tc>
          <w:tcPr>
            <w:tcW w:w="2959" w:type="dxa"/>
            <w:vAlign w:val="center"/>
          </w:tcPr>
          <w:p w14:paraId="3D6286B9">
            <w:pPr>
              <w:spacing w:line="360" w:lineRule="auto"/>
              <w:jc w:val="center"/>
              <w:rPr>
                <w:rFonts w:hint="eastAsia" w:ascii="宋体" w:hAnsi="宋体" w:eastAsia="宋体" w:cs="宋体"/>
                <w:color w:val="auto"/>
                <w:szCs w:val="21"/>
                <w:highlight w:val="none"/>
              </w:rPr>
            </w:pPr>
          </w:p>
        </w:tc>
      </w:tr>
      <w:tr w14:paraId="2DA06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28" w:type="dxa"/>
            <w:vAlign w:val="center"/>
          </w:tcPr>
          <w:p w14:paraId="4B4EA66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所投项目名称</w:t>
            </w:r>
          </w:p>
        </w:tc>
        <w:tc>
          <w:tcPr>
            <w:tcW w:w="7410" w:type="dxa"/>
            <w:gridSpan w:val="3"/>
            <w:vAlign w:val="center"/>
          </w:tcPr>
          <w:p w14:paraId="5D02BE5B">
            <w:pPr>
              <w:spacing w:line="360" w:lineRule="auto"/>
              <w:jc w:val="center"/>
              <w:rPr>
                <w:rFonts w:hint="eastAsia" w:ascii="宋体" w:hAnsi="宋体" w:eastAsia="宋体" w:cs="宋体"/>
                <w:color w:val="auto"/>
                <w:szCs w:val="21"/>
                <w:highlight w:val="none"/>
              </w:rPr>
            </w:pPr>
          </w:p>
        </w:tc>
      </w:tr>
      <w:tr w14:paraId="59C01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228" w:type="dxa"/>
            <w:vAlign w:val="center"/>
          </w:tcPr>
          <w:p w14:paraId="5FB61AB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所投标段（如有）</w:t>
            </w:r>
          </w:p>
        </w:tc>
        <w:tc>
          <w:tcPr>
            <w:tcW w:w="7410" w:type="dxa"/>
            <w:gridSpan w:val="3"/>
            <w:vAlign w:val="center"/>
          </w:tcPr>
          <w:p w14:paraId="162A4B8A">
            <w:pPr>
              <w:adjustRightInd w:val="0"/>
              <w:snapToGrid w:val="0"/>
              <w:spacing w:line="360" w:lineRule="auto"/>
              <w:jc w:val="center"/>
              <w:rPr>
                <w:rFonts w:hint="eastAsia" w:ascii="宋体" w:hAnsi="宋体" w:eastAsia="宋体" w:cs="宋体"/>
                <w:color w:val="auto"/>
                <w:szCs w:val="21"/>
                <w:highlight w:val="none"/>
              </w:rPr>
            </w:pPr>
          </w:p>
        </w:tc>
      </w:tr>
    </w:tbl>
    <w:p w14:paraId="3DF7AD53">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备注：1、请准备参与本项目投标的供应商如实填写（以上信息均为必填内容）并加盖投标供应商公章拍照或扫描发送至邮箱进行登记（电子邮箱：</w:t>
      </w:r>
      <w:r>
        <w:rPr>
          <w:rFonts w:hint="eastAsia" w:ascii="宋体" w:hAnsi="宋体" w:eastAsia="宋体" w:cs="宋体"/>
          <w:b/>
          <w:bCs/>
          <w:color w:val="auto"/>
          <w:szCs w:val="21"/>
          <w:highlight w:val="none"/>
          <w:u w:val="none"/>
        </w:rPr>
        <w:t>1024493245@qq.com</w:t>
      </w:r>
      <w:r>
        <w:rPr>
          <w:rFonts w:hint="eastAsia" w:ascii="宋体" w:hAnsi="宋体" w:eastAsia="宋体" w:cs="宋体"/>
          <w:b/>
          <w:bCs/>
          <w:color w:val="auto"/>
          <w:szCs w:val="21"/>
          <w:highlight w:val="none"/>
        </w:rPr>
        <w:t>，邮件标题请备注公司全称+项目名称，联系电话：0514-89787280  17361843750）。</w:t>
      </w:r>
    </w:p>
    <w:p w14:paraId="30138E44">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2、因投标人（供应商）填写有误，造成以上信息资料的不实将由投标人（供应商）承担责任。</w:t>
      </w:r>
    </w:p>
    <w:p w14:paraId="6260C7F6">
      <w:pPr>
        <w:numPr>
          <w:ilvl w:val="0"/>
          <w:numId w:val="4"/>
        </w:num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此表手写无效。</w:t>
      </w:r>
    </w:p>
    <w:p w14:paraId="38FA48B1">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w:t>
      </w:r>
    </w:p>
    <w:p w14:paraId="56673D32">
      <w:pPr>
        <w:rPr>
          <w:rFonts w:hint="eastAsia" w:ascii="宋体" w:hAnsi="宋体" w:eastAsia="宋体" w:cs="宋体"/>
          <w:b/>
          <w:color w:val="auto"/>
          <w:szCs w:val="21"/>
          <w:highlight w:val="none"/>
        </w:rPr>
      </w:pPr>
    </w:p>
    <w:p w14:paraId="26DEFC7F">
      <w:pPr>
        <w:rPr>
          <w:rFonts w:hint="eastAsia" w:ascii="宋体" w:hAnsi="宋体" w:eastAsia="宋体" w:cs="宋体"/>
          <w:b/>
          <w:color w:val="auto"/>
          <w:szCs w:val="21"/>
          <w:highlight w:val="none"/>
        </w:rPr>
      </w:pPr>
    </w:p>
    <w:p w14:paraId="64C1D8BB">
      <w:pPr>
        <w:rPr>
          <w:rFonts w:hint="eastAsia" w:ascii="宋体" w:hAnsi="宋体" w:eastAsia="宋体" w:cs="宋体"/>
          <w:b/>
          <w:color w:val="auto"/>
          <w:szCs w:val="21"/>
          <w:highlight w:val="none"/>
        </w:rPr>
      </w:pPr>
    </w:p>
    <w:p w14:paraId="3D73CF0D">
      <w:pPr>
        <w:rPr>
          <w:rFonts w:hint="eastAsia" w:ascii="宋体" w:hAnsi="宋体" w:eastAsia="宋体" w:cs="宋体"/>
          <w:b/>
          <w:color w:val="auto"/>
          <w:szCs w:val="21"/>
          <w:highlight w:val="none"/>
        </w:rPr>
      </w:pPr>
    </w:p>
    <w:p w14:paraId="4879DED4">
      <w:pPr>
        <w:rPr>
          <w:rFonts w:hint="eastAsia" w:ascii="宋体" w:hAnsi="宋体" w:eastAsia="宋体" w:cs="宋体"/>
          <w:b/>
          <w:color w:val="auto"/>
          <w:szCs w:val="21"/>
          <w:highlight w:val="none"/>
        </w:rPr>
      </w:pPr>
    </w:p>
    <w:p w14:paraId="780EE528">
      <w:pPr>
        <w:rPr>
          <w:rFonts w:hint="eastAsia" w:ascii="宋体" w:hAnsi="宋体" w:eastAsia="宋体" w:cs="宋体"/>
          <w:b/>
          <w:color w:val="auto"/>
          <w:szCs w:val="21"/>
          <w:highlight w:val="none"/>
        </w:rPr>
      </w:pPr>
    </w:p>
    <w:p w14:paraId="23298997">
      <w:pPr>
        <w:rPr>
          <w:rFonts w:hint="eastAsia" w:ascii="宋体" w:hAnsi="宋体" w:eastAsia="宋体" w:cs="宋体"/>
          <w:b/>
          <w:color w:val="auto"/>
          <w:szCs w:val="21"/>
          <w:highlight w:val="none"/>
        </w:rPr>
      </w:pPr>
    </w:p>
    <w:p w14:paraId="5E387516">
      <w:pPr>
        <w:spacing w:beforeLines="100" w:line="360" w:lineRule="auto"/>
        <w:jc w:val="center"/>
        <w:rPr>
          <w:rFonts w:hint="eastAsia" w:ascii="宋体" w:hAnsi="宋体" w:eastAsia="宋体" w:cs="宋体"/>
          <w:b/>
          <w:color w:val="auto"/>
          <w:highlight w:val="none"/>
        </w:rPr>
      </w:pPr>
    </w:p>
    <w:p w14:paraId="50821602">
      <w:pPr>
        <w:spacing w:beforeLines="100" w:line="360" w:lineRule="auto"/>
        <w:jc w:val="center"/>
        <w:rPr>
          <w:rFonts w:hint="eastAsia" w:ascii="宋体" w:hAnsi="宋体" w:eastAsia="宋体" w:cs="宋体"/>
          <w:b/>
          <w:color w:val="auto"/>
          <w:highlight w:val="none"/>
        </w:rPr>
      </w:pPr>
    </w:p>
    <w:p w14:paraId="215D9ADE">
      <w:pPr>
        <w:spacing w:beforeLines="100" w:line="36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rPr>
        <w:t>主要标的信息（中标后将公示）</w:t>
      </w:r>
    </w:p>
    <w:p w14:paraId="4F3E0494">
      <w:pPr>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磋商供应商全称（盖章）：</w:t>
      </w:r>
    </w:p>
    <w:tbl>
      <w:tblPr>
        <w:tblStyle w:val="3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5"/>
        <w:gridCol w:w="4743"/>
      </w:tblGrid>
      <w:tr w14:paraId="3F4F5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901" w:type="dxa"/>
          </w:tcPr>
          <w:p w14:paraId="3EB6914C">
            <w:pPr>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货物类</w:t>
            </w:r>
          </w:p>
        </w:tc>
        <w:tc>
          <w:tcPr>
            <w:tcW w:w="3780" w:type="dxa"/>
          </w:tcPr>
          <w:p w14:paraId="205084C3">
            <w:pPr>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服务类</w:t>
            </w:r>
          </w:p>
        </w:tc>
      </w:tr>
      <w:tr w14:paraId="58E38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0" w:hRule="atLeast"/>
          <w:jc w:val="center"/>
        </w:trPr>
        <w:tc>
          <w:tcPr>
            <w:tcW w:w="3901" w:type="dxa"/>
          </w:tcPr>
          <w:p w14:paraId="01463798">
            <w:pPr>
              <w:spacing w:line="360" w:lineRule="auto"/>
              <w:rPr>
                <w:rFonts w:hint="eastAsia" w:ascii="宋体" w:hAnsi="宋体" w:eastAsia="宋体" w:cs="宋体"/>
                <w:color w:val="auto"/>
                <w:kern w:val="0"/>
                <w:highlight w:val="none"/>
              </w:rPr>
            </w:pPr>
            <w:r>
              <w:rPr>
                <w:rFonts w:hint="eastAsia" w:ascii="宋体" w:hAnsi="宋体" w:eastAsia="宋体" w:cs="宋体"/>
                <w:color w:val="auto"/>
                <w:kern w:val="0"/>
                <w:highlight w:val="none"/>
              </w:rPr>
              <w:t>项目名称：</w:t>
            </w:r>
          </w:p>
          <w:p w14:paraId="6C27F1F6">
            <w:pPr>
              <w:spacing w:line="360" w:lineRule="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品牌（如有）：</w:t>
            </w:r>
          </w:p>
          <w:p w14:paraId="76098D02">
            <w:pPr>
              <w:spacing w:line="360" w:lineRule="auto"/>
              <w:rPr>
                <w:rFonts w:hint="eastAsia" w:ascii="宋体" w:hAnsi="宋体" w:eastAsia="宋体" w:cs="宋体"/>
                <w:color w:val="auto"/>
                <w:kern w:val="0"/>
                <w:highlight w:val="none"/>
              </w:rPr>
            </w:pPr>
            <w:r>
              <w:rPr>
                <w:rFonts w:hint="eastAsia" w:ascii="宋体" w:hAnsi="宋体" w:eastAsia="宋体" w:cs="宋体"/>
                <w:color w:val="auto"/>
                <w:kern w:val="0"/>
                <w:highlight w:val="none"/>
              </w:rPr>
              <w:t>规格型号：</w:t>
            </w:r>
          </w:p>
          <w:p w14:paraId="56DDFD82">
            <w:pPr>
              <w:spacing w:line="360" w:lineRule="auto"/>
              <w:rPr>
                <w:rFonts w:hint="eastAsia" w:ascii="宋体" w:hAnsi="宋体" w:eastAsia="宋体" w:cs="宋体"/>
                <w:color w:val="auto"/>
                <w:kern w:val="0"/>
                <w:highlight w:val="none"/>
              </w:rPr>
            </w:pPr>
            <w:r>
              <w:rPr>
                <w:rFonts w:hint="eastAsia" w:ascii="宋体" w:hAnsi="宋体" w:eastAsia="宋体" w:cs="宋体"/>
                <w:color w:val="auto"/>
                <w:kern w:val="0"/>
                <w:highlight w:val="none"/>
              </w:rPr>
              <w:t>数量：</w:t>
            </w:r>
          </w:p>
          <w:p w14:paraId="217E0E18">
            <w:pPr>
              <w:spacing w:line="360" w:lineRule="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单价：</w:t>
            </w:r>
          </w:p>
        </w:tc>
        <w:tc>
          <w:tcPr>
            <w:tcW w:w="3780" w:type="dxa"/>
          </w:tcPr>
          <w:p w14:paraId="4888EEE3">
            <w:pPr>
              <w:spacing w:line="360" w:lineRule="auto"/>
              <w:rPr>
                <w:rFonts w:hint="eastAsia" w:ascii="宋体" w:hAnsi="宋体" w:eastAsia="宋体" w:cs="宋体"/>
                <w:color w:val="auto"/>
                <w:kern w:val="0"/>
                <w:highlight w:val="none"/>
              </w:rPr>
            </w:pPr>
            <w:r>
              <w:rPr>
                <w:rFonts w:hint="eastAsia" w:ascii="宋体" w:hAnsi="宋体" w:eastAsia="宋体" w:cs="宋体"/>
                <w:color w:val="auto"/>
                <w:kern w:val="0"/>
                <w:highlight w:val="none"/>
              </w:rPr>
              <w:t>项目名称：</w:t>
            </w:r>
          </w:p>
          <w:p w14:paraId="5AB7541C">
            <w:pPr>
              <w:spacing w:line="360" w:lineRule="auto"/>
              <w:rPr>
                <w:rFonts w:hint="eastAsia" w:ascii="宋体" w:hAnsi="宋体" w:eastAsia="宋体" w:cs="宋体"/>
                <w:color w:val="auto"/>
                <w:kern w:val="0"/>
                <w:highlight w:val="none"/>
              </w:rPr>
            </w:pPr>
            <w:r>
              <w:rPr>
                <w:rFonts w:hint="eastAsia" w:ascii="宋体" w:hAnsi="宋体" w:eastAsia="宋体" w:cs="宋体"/>
                <w:color w:val="auto"/>
                <w:kern w:val="0"/>
                <w:highlight w:val="none"/>
              </w:rPr>
              <w:t>服务范围：</w:t>
            </w:r>
          </w:p>
          <w:p w14:paraId="2072F36C">
            <w:pPr>
              <w:spacing w:line="360" w:lineRule="auto"/>
              <w:rPr>
                <w:rFonts w:hint="eastAsia" w:ascii="宋体" w:hAnsi="宋体" w:eastAsia="宋体" w:cs="宋体"/>
                <w:color w:val="auto"/>
                <w:kern w:val="0"/>
                <w:highlight w:val="none"/>
                <w:u w:val="single"/>
              </w:rPr>
            </w:pPr>
            <w:r>
              <w:rPr>
                <w:rFonts w:hint="eastAsia" w:ascii="宋体" w:hAnsi="宋体" w:eastAsia="宋体" w:cs="宋体"/>
                <w:color w:val="auto"/>
                <w:kern w:val="0"/>
                <w:highlight w:val="none"/>
              </w:rPr>
              <w:t>服务要求：</w:t>
            </w:r>
          </w:p>
          <w:p w14:paraId="30B93E1B">
            <w:pPr>
              <w:spacing w:line="360" w:lineRule="auto"/>
              <w:rPr>
                <w:rFonts w:hint="eastAsia" w:ascii="宋体" w:hAnsi="宋体" w:eastAsia="宋体" w:cs="宋体"/>
                <w:color w:val="auto"/>
                <w:kern w:val="0"/>
                <w:highlight w:val="none"/>
                <w:u w:val="single"/>
              </w:rPr>
            </w:pPr>
            <w:r>
              <w:rPr>
                <w:rFonts w:hint="eastAsia" w:ascii="宋体" w:hAnsi="宋体" w:eastAsia="宋体" w:cs="宋体"/>
                <w:color w:val="auto"/>
                <w:kern w:val="0"/>
                <w:highlight w:val="none"/>
              </w:rPr>
              <w:t>服务时间：</w:t>
            </w:r>
          </w:p>
          <w:p w14:paraId="6ED09029">
            <w:pPr>
              <w:spacing w:line="360" w:lineRule="auto"/>
              <w:rPr>
                <w:rFonts w:hint="eastAsia" w:ascii="宋体" w:hAnsi="宋体" w:eastAsia="宋体" w:cs="宋体"/>
                <w:color w:val="auto"/>
                <w:kern w:val="0"/>
                <w:highlight w:val="none"/>
              </w:rPr>
            </w:pPr>
            <w:r>
              <w:rPr>
                <w:rFonts w:hint="eastAsia" w:ascii="宋体" w:hAnsi="宋体" w:eastAsia="宋体" w:cs="宋体"/>
                <w:color w:val="auto"/>
                <w:kern w:val="0"/>
                <w:highlight w:val="none"/>
              </w:rPr>
              <w:t>服务标准：</w:t>
            </w:r>
          </w:p>
        </w:tc>
      </w:tr>
    </w:tbl>
    <w:p w14:paraId="66FA4ABD">
      <w:pPr>
        <w:rPr>
          <w:rFonts w:hint="eastAsia" w:ascii="宋体" w:hAnsi="宋体" w:eastAsia="宋体" w:cs="宋体"/>
          <w:color w:val="auto"/>
          <w:highlight w:val="none"/>
        </w:rPr>
      </w:pPr>
    </w:p>
    <w:sectPr>
      <w:headerReference r:id="rId3" w:type="default"/>
      <w:footerReference r:id="rId4"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auto"/>
    <w:pitch w:val="default"/>
    <w:sig w:usb0="E00006FF" w:usb1="0000FCFF" w:usb2="00000001" w:usb3="00000000" w:csb0="6000019F" w:csb1="DFD70000"/>
  </w:font>
  <w:font w:name="Helvetica Neue">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D8D69">
    <w:pPr>
      <w:pStyle w:val="25"/>
      <w:jc w:val="center"/>
    </w:pPr>
    <w:r>
      <w:fldChar w:fldCharType="begin"/>
    </w:r>
    <w:r>
      <w:instrText xml:space="preserve">PAGE   \* MERGEFORMAT</w:instrText>
    </w:r>
    <w:r>
      <w:fldChar w:fldCharType="separate"/>
    </w:r>
    <w:r>
      <w:t>8</w:t>
    </w:r>
    <w:r>
      <w:fldChar w:fldCharType="end"/>
    </w:r>
  </w:p>
  <w:p w14:paraId="74FC8C93">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59D58">
    <w:pPr>
      <w:pStyle w:val="26"/>
      <w:ind w:firstLine="210" w:firstLineChars="100"/>
      <w:jc w:val="both"/>
      <w:rPr>
        <w:rFonts w:ascii="宋体"/>
        <w:sz w:val="21"/>
        <w:szCs w:val="21"/>
      </w:rPr>
    </w:pPr>
    <w:r>
      <w:rPr>
        <w:rFonts w:ascii="宋体" w:hAnsi="宋体" w:cs="宋体"/>
        <w:sz w:val="21"/>
        <w:szCs w:val="21"/>
      </w:rPr>
      <w:t>JSHCZ</w:t>
    </w:r>
    <w:r>
      <w:rPr>
        <w:rFonts w:ascii="宋体" w:hAnsi="宋体" w:cs="宋体"/>
        <w:sz w:val="21"/>
        <w:szCs w:val="21"/>
        <w:lang w:val="en-US"/>
      </w:rPr>
      <w:t>B</w:t>
    </w:r>
    <w:r>
      <w:rPr>
        <w:rFonts w:ascii="宋体" w:hAnsi="宋体" w:cs="宋体"/>
        <w:sz w:val="21"/>
        <w:szCs w:val="21"/>
      </w:rPr>
      <w:t>-202</w:t>
    </w:r>
    <w:r>
      <w:rPr>
        <w:rFonts w:hint="eastAsia" w:ascii="宋体" w:hAnsi="宋体" w:cs="宋体"/>
        <w:sz w:val="21"/>
        <w:szCs w:val="21"/>
        <w:lang w:val="en-US" w:eastAsia="zh-CN"/>
      </w:rPr>
      <w:t>60264</w:t>
    </w:r>
    <w:r>
      <w:rPr>
        <w:rFonts w:ascii="宋体" w:hAnsi="宋体"/>
        <w:sz w:val="21"/>
        <w:szCs w:val="21"/>
      </w:rPr>
      <w:t xml:space="preserve"> </w:t>
    </w:r>
    <w:r>
      <w:rPr>
        <w:rFonts w:ascii="宋体" w:hAnsi="宋体"/>
      </w:rPr>
      <w:t xml:space="preserve">                                  </w:t>
    </w:r>
    <w:r>
      <w:rPr>
        <w:rFonts w:hint="eastAsia" w:ascii="宋体" w:hAnsi="宋体"/>
        <w:lang w:val="en-US" w:eastAsia="zh-CN"/>
      </w:rPr>
      <w:t xml:space="preserve">    </w:t>
    </w:r>
    <w:r>
      <w:rPr>
        <w:rFonts w:ascii="宋体" w:hAnsi="宋体"/>
      </w:rPr>
      <w:t xml:space="preserve"> </w:t>
    </w:r>
    <w:r>
      <w:rPr>
        <w:rFonts w:hint="eastAsia"/>
        <w:sz w:val="21"/>
        <w:szCs w:val="21"/>
      </w:rPr>
      <w:t>江苏汇诚投资咨询管理有限公司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387C8C"/>
    <w:multiLevelType w:val="singleLevel"/>
    <w:tmpl w:val="AD387C8C"/>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1">
    <w:nsid w:val="F2FEE072"/>
    <w:multiLevelType w:val="singleLevel"/>
    <w:tmpl w:val="F2FEE072"/>
    <w:lvl w:ilvl="0" w:tentative="0">
      <w:start w:val="8"/>
      <w:numFmt w:val="chineseCounting"/>
      <w:suff w:val="nothing"/>
      <w:lvlText w:val="%1、"/>
      <w:lvlJc w:val="left"/>
      <w:rPr>
        <w:rFonts w:hint="eastAsia"/>
      </w:rPr>
    </w:lvl>
  </w:abstractNum>
  <w:abstractNum w:abstractNumId="2">
    <w:nsid w:val="1054C687"/>
    <w:multiLevelType w:val="singleLevel"/>
    <w:tmpl w:val="1054C687"/>
    <w:lvl w:ilvl="0" w:tentative="0">
      <w:start w:val="3"/>
      <w:numFmt w:val="decimal"/>
      <w:suff w:val="nothing"/>
      <w:lvlText w:val="%1、"/>
      <w:lvlJc w:val="left"/>
      <w:rPr>
        <w:rFonts w:cs="Times New Roman"/>
      </w:rPr>
    </w:lvl>
  </w:abstractNum>
  <w:abstractNum w:abstractNumId="3">
    <w:nsid w:val="1393C647"/>
    <w:multiLevelType w:val="singleLevel"/>
    <w:tmpl w:val="1393C647"/>
    <w:lvl w:ilvl="0" w:tentative="0">
      <w:start w:val="3"/>
      <w:numFmt w:val="chineseCounting"/>
      <w:suff w:val="space"/>
      <w:lvlText w:val="第%1章"/>
      <w:lvlJc w:val="left"/>
      <w:rPr>
        <w:rFonts w:hint="eastAsia"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c4NzEzNTY4NjVmYWQzMmY1M2ViNGExZGE1MTMyYmIifQ=="/>
  </w:docVars>
  <w:rsids>
    <w:rsidRoot w:val="00F77236"/>
    <w:rsid w:val="00000D19"/>
    <w:rsid w:val="00000DAB"/>
    <w:rsid w:val="0000176D"/>
    <w:rsid w:val="00001D73"/>
    <w:rsid w:val="00002208"/>
    <w:rsid w:val="00002ABF"/>
    <w:rsid w:val="000033CA"/>
    <w:rsid w:val="00003EAF"/>
    <w:rsid w:val="00004F16"/>
    <w:rsid w:val="000061E6"/>
    <w:rsid w:val="0001021A"/>
    <w:rsid w:val="0001077C"/>
    <w:rsid w:val="00010ADF"/>
    <w:rsid w:val="00010B4E"/>
    <w:rsid w:val="00012090"/>
    <w:rsid w:val="000135ED"/>
    <w:rsid w:val="00013C8F"/>
    <w:rsid w:val="000141FF"/>
    <w:rsid w:val="00021C0D"/>
    <w:rsid w:val="00021E18"/>
    <w:rsid w:val="00022BF8"/>
    <w:rsid w:val="0002322E"/>
    <w:rsid w:val="00023CD0"/>
    <w:rsid w:val="00023CDB"/>
    <w:rsid w:val="000254B0"/>
    <w:rsid w:val="000319D0"/>
    <w:rsid w:val="00032061"/>
    <w:rsid w:val="000326C1"/>
    <w:rsid w:val="00032C8E"/>
    <w:rsid w:val="00032D2A"/>
    <w:rsid w:val="00032EF1"/>
    <w:rsid w:val="00033091"/>
    <w:rsid w:val="000330EC"/>
    <w:rsid w:val="00036247"/>
    <w:rsid w:val="00036530"/>
    <w:rsid w:val="00040FE2"/>
    <w:rsid w:val="00042C24"/>
    <w:rsid w:val="0004401B"/>
    <w:rsid w:val="00044377"/>
    <w:rsid w:val="000444E1"/>
    <w:rsid w:val="00045106"/>
    <w:rsid w:val="00046486"/>
    <w:rsid w:val="000464D8"/>
    <w:rsid w:val="00046CA7"/>
    <w:rsid w:val="00047814"/>
    <w:rsid w:val="00047A28"/>
    <w:rsid w:val="00047E85"/>
    <w:rsid w:val="00050503"/>
    <w:rsid w:val="00051D6A"/>
    <w:rsid w:val="000520B1"/>
    <w:rsid w:val="0005242A"/>
    <w:rsid w:val="00052474"/>
    <w:rsid w:val="00052FF1"/>
    <w:rsid w:val="00053022"/>
    <w:rsid w:val="0005319C"/>
    <w:rsid w:val="000533FB"/>
    <w:rsid w:val="000534FD"/>
    <w:rsid w:val="00053741"/>
    <w:rsid w:val="00053A17"/>
    <w:rsid w:val="00054696"/>
    <w:rsid w:val="00054853"/>
    <w:rsid w:val="00054A54"/>
    <w:rsid w:val="00056AAA"/>
    <w:rsid w:val="00056B0B"/>
    <w:rsid w:val="0005758B"/>
    <w:rsid w:val="000579CB"/>
    <w:rsid w:val="00057AD1"/>
    <w:rsid w:val="00057E45"/>
    <w:rsid w:val="000607F2"/>
    <w:rsid w:val="00060836"/>
    <w:rsid w:val="00062388"/>
    <w:rsid w:val="00065A20"/>
    <w:rsid w:val="00067238"/>
    <w:rsid w:val="00070983"/>
    <w:rsid w:val="00070DE9"/>
    <w:rsid w:val="00072095"/>
    <w:rsid w:val="000730B1"/>
    <w:rsid w:val="00074D7A"/>
    <w:rsid w:val="00075B6F"/>
    <w:rsid w:val="00076590"/>
    <w:rsid w:val="00076BBB"/>
    <w:rsid w:val="000801FB"/>
    <w:rsid w:val="000816F8"/>
    <w:rsid w:val="0008172E"/>
    <w:rsid w:val="000818CC"/>
    <w:rsid w:val="00083146"/>
    <w:rsid w:val="00084AFA"/>
    <w:rsid w:val="00085A7C"/>
    <w:rsid w:val="00085FF9"/>
    <w:rsid w:val="000867C8"/>
    <w:rsid w:val="00086A83"/>
    <w:rsid w:val="000871A6"/>
    <w:rsid w:val="0009040B"/>
    <w:rsid w:val="00090CD9"/>
    <w:rsid w:val="000956AF"/>
    <w:rsid w:val="00095BED"/>
    <w:rsid w:val="00097EC8"/>
    <w:rsid w:val="000A0F80"/>
    <w:rsid w:val="000A1B39"/>
    <w:rsid w:val="000A1D05"/>
    <w:rsid w:val="000A6785"/>
    <w:rsid w:val="000A71EF"/>
    <w:rsid w:val="000A7385"/>
    <w:rsid w:val="000A7CCE"/>
    <w:rsid w:val="000B0316"/>
    <w:rsid w:val="000B29A7"/>
    <w:rsid w:val="000B2BD8"/>
    <w:rsid w:val="000B43BA"/>
    <w:rsid w:val="000B4C69"/>
    <w:rsid w:val="000B586D"/>
    <w:rsid w:val="000B5EA4"/>
    <w:rsid w:val="000B6106"/>
    <w:rsid w:val="000B71A0"/>
    <w:rsid w:val="000C3296"/>
    <w:rsid w:val="000C45AF"/>
    <w:rsid w:val="000C4C2C"/>
    <w:rsid w:val="000C6304"/>
    <w:rsid w:val="000C7458"/>
    <w:rsid w:val="000D0136"/>
    <w:rsid w:val="000D1AA9"/>
    <w:rsid w:val="000D31D0"/>
    <w:rsid w:val="000D32BE"/>
    <w:rsid w:val="000D3830"/>
    <w:rsid w:val="000D3910"/>
    <w:rsid w:val="000D3E42"/>
    <w:rsid w:val="000D4924"/>
    <w:rsid w:val="000D4F4C"/>
    <w:rsid w:val="000D5931"/>
    <w:rsid w:val="000D5A78"/>
    <w:rsid w:val="000D61D0"/>
    <w:rsid w:val="000D626F"/>
    <w:rsid w:val="000D63C9"/>
    <w:rsid w:val="000D65B5"/>
    <w:rsid w:val="000D7482"/>
    <w:rsid w:val="000D7995"/>
    <w:rsid w:val="000D7F2C"/>
    <w:rsid w:val="000E02BD"/>
    <w:rsid w:val="000E19ED"/>
    <w:rsid w:val="000E1DEA"/>
    <w:rsid w:val="000E3E6C"/>
    <w:rsid w:val="000E4879"/>
    <w:rsid w:val="000E7F86"/>
    <w:rsid w:val="000F0ED9"/>
    <w:rsid w:val="000F1253"/>
    <w:rsid w:val="000F155F"/>
    <w:rsid w:val="000F1A64"/>
    <w:rsid w:val="000F1DC5"/>
    <w:rsid w:val="000F20AC"/>
    <w:rsid w:val="000F3E96"/>
    <w:rsid w:val="000F665C"/>
    <w:rsid w:val="000F6948"/>
    <w:rsid w:val="000F7153"/>
    <w:rsid w:val="000F7352"/>
    <w:rsid w:val="000F7488"/>
    <w:rsid w:val="000F7C6E"/>
    <w:rsid w:val="00102494"/>
    <w:rsid w:val="00103847"/>
    <w:rsid w:val="00103897"/>
    <w:rsid w:val="001052C6"/>
    <w:rsid w:val="00105E92"/>
    <w:rsid w:val="00106824"/>
    <w:rsid w:val="00106AC5"/>
    <w:rsid w:val="00107104"/>
    <w:rsid w:val="001101D6"/>
    <w:rsid w:val="0011052E"/>
    <w:rsid w:val="00114683"/>
    <w:rsid w:val="00115DF2"/>
    <w:rsid w:val="00116261"/>
    <w:rsid w:val="001169E4"/>
    <w:rsid w:val="00117433"/>
    <w:rsid w:val="001174BC"/>
    <w:rsid w:val="00117565"/>
    <w:rsid w:val="00121FEC"/>
    <w:rsid w:val="00122F8C"/>
    <w:rsid w:val="00123750"/>
    <w:rsid w:val="001267FA"/>
    <w:rsid w:val="00126AF3"/>
    <w:rsid w:val="00126BD8"/>
    <w:rsid w:val="00126EB8"/>
    <w:rsid w:val="00126F21"/>
    <w:rsid w:val="00126F23"/>
    <w:rsid w:val="00127AE4"/>
    <w:rsid w:val="001306B7"/>
    <w:rsid w:val="00130F6D"/>
    <w:rsid w:val="00131290"/>
    <w:rsid w:val="0013356E"/>
    <w:rsid w:val="0013378D"/>
    <w:rsid w:val="0013407C"/>
    <w:rsid w:val="00135F1C"/>
    <w:rsid w:val="0013738C"/>
    <w:rsid w:val="001404E6"/>
    <w:rsid w:val="001408BE"/>
    <w:rsid w:val="00140E27"/>
    <w:rsid w:val="001420A5"/>
    <w:rsid w:val="00146E37"/>
    <w:rsid w:val="00147D42"/>
    <w:rsid w:val="00150773"/>
    <w:rsid w:val="001509A6"/>
    <w:rsid w:val="00151128"/>
    <w:rsid w:val="0015213F"/>
    <w:rsid w:val="001522E2"/>
    <w:rsid w:val="00152DFB"/>
    <w:rsid w:val="0015308E"/>
    <w:rsid w:val="001549F2"/>
    <w:rsid w:val="00154C12"/>
    <w:rsid w:val="00156DE8"/>
    <w:rsid w:val="0015703D"/>
    <w:rsid w:val="00157402"/>
    <w:rsid w:val="00160CE0"/>
    <w:rsid w:val="00161A0B"/>
    <w:rsid w:val="00161F65"/>
    <w:rsid w:val="001638BB"/>
    <w:rsid w:val="0016486B"/>
    <w:rsid w:val="00165C6C"/>
    <w:rsid w:val="00165DE8"/>
    <w:rsid w:val="001663A1"/>
    <w:rsid w:val="00167A6D"/>
    <w:rsid w:val="0017008D"/>
    <w:rsid w:val="00171526"/>
    <w:rsid w:val="0017232C"/>
    <w:rsid w:val="00176322"/>
    <w:rsid w:val="0017775B"/>
    <w:rsid w:val="00181BE0"/>
    <w:rsid w:val="00181FF2"/>
    <w:rsid w:val="001820E0"/>
    <w:rsid w:val="00182D50"/>
    <w:rsid w:val="00185B30"/>
    <w:rsid w:val="00185CA4"/>
    <w:rsid w:val="00185FAF"/>
    <w:rsid w:val="00186583"/>
    <w:rsid w:val="00187D1E"/>
    <w:rsid w:val="0019006E"/>
    <w:rsid w:val="001913F6"/>
    <w:rsid w:val="00192300"/>
    <w:rsid w:val="00192BC5"/>
    <w:rsid w:val="00192EAA"/>
    <w:rsid w:val="00193DDA"/>
    <w:rsid w:val="00194D33"/>
    <w:rsid w:val="00195CC9"/>
    <w:rsid w:val="00195F6A"/>
    <w:rsid w:val="00196949"/>
    <w:rsid w:val="001971F2"/>
    <w:rsid w:val="001A0CFC"/>
    <w:rsid w:val="001A0ED8"/>
    <w:rsid w:val="001A0FFC"/>
    <w:rsid w:val="001A219E"/>
    <w:rsid w:val="001A3A69"/>
    <w:rsid w:val="001A4D8D"/>
    <w:rsid w:val="001A599F"/>
    <w:rsid w:val="001A5C07"/>
    <w:rsid w:val="001A64C4"/>
    <w:rsid w:val="001A70AA"/>
    <w:rsid w:val="001B0695"/>
    <w:rsid w:val="001B20A4"/>
    <w:rsid w:val="001B48F2"/>
    <w:rsid w:val="001B5944"/>
    <w:rsid w:val="001C116A"/>
    <w:rsid w:val="001C26F3"/>
    <w:rsid w:val="001C2832"/>
    <w:rsid w:val="001C3261"/>
    <w:rsid w:val="001C3290"/>
    <w:rsid w:val="001C385A"/>
    <w:rsid w:val="001C39F4"/>
    <w:rsid w:val="001C41AE"/>
    <w:rsid w:val="001C5027"/>
    <w:rsid w:val="001C61F4"/>
    <w:rsid w:val="001C7017"/>
    <w:rsid w:val="001C76B0"/>
    <w:rsid w:val="001D02DF"/>
    <w:rsid w:val="001D17A6"/>
    <w:rsid w:val="001D2039"/>
    <w:rsid w:val="001D23CB"/>
    <w:rsid w:val="001D2EEE"/>
    <w:rsid w:val="001D46D9"/>
    <w:rsid w:val="001D5A3C"/>
    <w:rsid w:val="001D65C9"/>
    <w:rsid w:val="001E00B0"/>
    <w:rsid w:val="001E0235"/>
    <w:rsid w:val="001E1DAE"/>
    <w:rsid w:val="001E2E76"/>
    <w:rsid w:val="001E3E64"/>
    <w:rsid w:val="001E6A96"/>
    <w:rsid w:val="001E71D1"/>
    <w:rsid w:val="001F1684"/>
    <w:rsid w:val="001F1A80"/>
    <w:rsid w:val="001F1A99"/>
    <w:rsid w:val="001F3068"/>
    <w:rsid w:val="001F329A"/>
    <w:rsid w:val="001F3ADA"/>
    <w:rsid w:val="001F46B4"/>
    <w:rsid w:val="001F5E13"/>
    <w:rsid w:val="001F714A"/>
    <w:rsid w:val="00200A6D"/>
    <w:rsid w:val="00200C2A"/>
    <w:rsid w:val="00200D28"/>
    <w:rsid w:val="002017EC"/>
    <w:rsid w:val="00205156"/>
    <w:rsid w:val="00206E97"/>
    <w:rsid w:val="0020724B"/>
    <w:rsid w:val="0020793F"/>
    <w:rsid w:val="00210DBE"/>
    <w:rsid w:val="00211662"/>
    <w:rsid w:val="002128FC"/>
    <w:rsid w:val="00212CC3"/>
    <w:rsid w:val="002158F5"/>
    <w:rsid w:val="00216B5F"/>
    <w:rsid w:val="00216BAE"/>
    <w:rsid w:val="00217947"/>
    <w:rsid w:val="00217E52"/>
    <w:rsid w:val="00220D41"/>
    <w:rsid w:val="00222A82"/>
    <w:rsid w:val="002238B3"/>
    <w:rsid w:val="00223E7A"/>
    <w:rsid w:val="002272DC"/>
    <w:rsid w:val="002309CE"/>
    <w:rsid w:val="00230C2D"/>
    <w:rsid w:val="00232E53"/>
    <w:rsid w:val="002353EE"/>
    <w:rsid w:val="0023551D"/>
    <w:rsid w:val="002362D0"/>
    <w:rsid w:val="0023665C"/>
    <w:rsid w:val="002410F1"/>
    <w:rsid w:val="00241F8E"/>
    <w:rsid w:val="002425E1"/>
    <w:rsid w:val="0024368F"/>
    <w:rsid w:val="00244084"/>
    <w:rsid w:val="00244263"/>
    <w:rsid w:val="0024483C"/>
    <w:rsid w:val="00246E4A"/>
    <w:rsid w:val="00250527"/>
    <w:rsid w:val="00250C72"/>
    <w:rsid w:val="00252202"/>
    <w:rsid w:val="00252357"/>
    <w:rsid w:val="00253431"/>
    <w:rsid w:val="002539EE"/>
    <w:rsid w:val="00255328"/>
    <w:rsid w:val="00256C6B"/>
    <w:rsid w:val="00257705"/>
    <w:rsid w:val="00257818"/>
    <w:rsid w:val="00257EFD"/>
    <w:rsid w:val="00257F49"/>
    <w:rsid w:val="0026188D"/>
    <w:rsid w:val="002629D7"/>
    <w:rsid w:val="00264A24"/>
    <w:rsid w:val="002662EC"/>
    <w:rsid w:val="00266530"/>
    <w:rsid w:val="002670A6"/>
    <w:rsid w:val="00267A3F"/>
    <w:rsid w:val="00267E43"/>
    <w:rsid w:val="00272022"/>
    <w:rsid w:val="002730F7"/>
    <w:rsid w:val="0027332A"/>
    <w:rsid w:val="00273370"/>
    <w:rsid w:val="00273B4C"/>
    <w:rsid w:val="002744FC"/>
    <w:rsid w:val="00274772"/>
    <w:rsid w:val="00274C13"/>
    <w:rsid w:val="00275587"/>
    <w:rsid w:val="00277467"/>
    <w:rsid w:val="00277B11"/>
    <w:rsid w:val="00277D4D"/>
    <w:rsid w:val="002809FD"/>
    <w:rsid w:val="00281791"/>
    <w:rsid w:val="0028390D"/>
    <w:rsid w:val="00283C3D"/>
    <w:rsid w:val="0028513E"/>
    <w:rsid w:val="002855A7"/>
    <w:rsid w:val="00286202"/>
    <w:rsid w:val="002867DE"/>
    <w:rsid w:val="0028681C"/>
    <w:rsid w:val="00286F3A"/>
    <w:rsid w:val="002918FA"/>
    <w:rsid w:val="002935BC"/>
    <w:rsid w:val="00293683"/>
    <w:rsid w:val="002951AF"/>
    <w:rsid w:val="00295216"/>
    <w:rsid w:val="0029792B"/>
    <w:rsid w:val="002A01BB"/>
    <w:rsid w:val="002A0AEB"/>
    <w:rsid w:val="002A128A"/>
    <w:rsid w:val="002A5A8F"/>
    <w:rsid w:val="002A7798"/>
    <w:rsid w:val="002B0CCE"/>
    <w:rsid w:val="002B1077"/>
    <w:rsid w:val="002B2FD1"/>
    <w:rsid w:val="002B30B7"/>
    <w:rsid w:val="002B38BB"/>
    <w:rsid w:val="002B4976"/>
    <w:rsid w:val="002B4A24"/>
    <w:rsid w:val="002C0FD7"/>
    <w:rsid w:val="002C12EA"/>
    <w:rsid w:val="002C2309"/>
    <w:rsid w:val="002C244F"/>
    <w:rsid w:val="002C3319"/>
    <w:rsid w:val="002C4E1D"/>
    <w:rsid w:val="002C50E4"/>
    <w:rsid w:val="002C5BAF"/>
    <w:rsid w:val="002C62F9"/>
    <w:rsid w:val="002C66C7"/>
    <w:rsid w:val="002C6FC4"/>
    <w:rsid w:val="002C7332"/>
    <w:rsid w:val="002C781F"/>
    <w:rsid w:val="002C7DD6"/>
    <w:rsid w:val="002D0B47"/>
    <w:rsid w:val="002D17EF"/>
    <w:rsid w:val="002D3150"/>
    <w:rsid w:val="002D3641"/>
    <w:rsid w:val="002D589D"/>
    <w:rsid w:val="002D5C53"/>
    <w:rsid w:val="002D66B5"/>
    <w:rsid w:val="002D796C"/>
    <w:rsid w:val="002E0F31"/>
    <w:rsid w:val="002E1042"/>
    <w:rsid w:val="002E1D5E"/>
    <w:rsid w:val="002E1E47"/>
    <w:rsid w:val="002E47BE"/>
    <w:rsid w:val="002E5CF0"/>
    <w:rsid w:val="002E70C5"/>
    <w:rsid w:val="002E7D8A"/>
    <w:rsid w:val="002E7F50"/>
    <w:rsid w:val="002F0979"/>
    <w:rsid w:val="002F0A7E"/>
    <w:rsid w:val="002F13A1"/>
    <w:rsid w:val="002F2238"/>
    <w:rsid w:val="002F3047"/>
    <w:rsid w:val="002F3D6E"/>
    <w:rsid w:val="002F3FCA"/>
    <w:rsid w:val="002F3FF9"/>
    <w:rsid w:val="002F46BB"/>
    <w:rsid w:val="002F4730"/>
    <w:rsid w:val="002F4933"/>
    <w:rsid w:val="002F567F"/>
    <w:rsid w:val="002F63BB"/>
    <w:rsid w:val="002F6E2C"/>
    <w:rsid w:val="002F6ECB"/>
    <w:rsid w:val="002F7335"/>
    <w:rsid w:val="002F7C02"/>
    <w:rsid w:val="00301447"/>
    <w:rsid w:val="00303032"/>
    <w:rsid w:val="003051FE"/>
    <w:rsid w:val="0030649B"/>
    <w:rsid w:val="003110CF"/>
    <w:rsid w:val="00311232"/>
    <w:rsid w:val="0031202E"/>
    <w:rsid w:val="003148D2"/>
    <w:rsid w:val="00315E69"/>
    <w:rsid w:val="003170D9"/>
    <w:rsid w:val="00317293"/>
    <w:rsid w:val="003208A7"/>
    <w:rsid w:val="00321215"/>
    <w:rsid w:val="0032314B"/>
    <w:rsid w:val="003232D2"/>
    <w:rsid w:val="00323F42"/>
    <w:rsid w:val="00324216"/>
    <w:rsid w:val="00324D78"/>
    <w:rsid w:val="00325342"/>
    <w:rsid w:val="003279F4"/>
    <w:rsid w:val="00333B9F"/>
    <w:rsid w:val="0033420B"/>
    <w:rsid w:val="0033523F"/>
    <w:rsid w:val="00335D7E"/>
    <w:rsid w:val="003367F8"/>
    <w:rsid w:val="00336BBE"/>
    <w:rsid w:val="003372DD"/>
    <w:rsid w:val="003376D2"/>
    <w:rsid w:val="00340678"/>
    <w:rsid w:val="00340C09"/>
    <w:rsid w:val="00343EE5"/>
    <w:rsid w:val="0034418F"/>
    <w:rsid w:val="003465B6"/>
    <w:rsid w:val="003469B7"/>
    <w:rsid w:val="00347669"/>
    <w:rsid w:val="003476E6"/>
    <w:rsid w:val="00351207"/>
    <w:rsid w:val="00352A49"/>
    <w:rsid w:val="0035350A"/>
    <w:rsid w:val="00354269"/>
    <w:rsid w:val="00355046"/>
    <w:rsid w:val="003559BB"/>
    <w:rsid w:val="00355A4D"/>
    <w:rsid w:val="003568CD"/>
    <w:rsid w:val="00356CE3"/>
    <w:rsid w:val="003574E3"/>
    <w:rsid w:val="00357FA2"/>
    <w:rsid w:val="003620D6"/>
    <w:rsid w:val="00362982"/>
    <w:rsid w:val="00362BED"/>
    <w:rsid w:val="00362D08"/>
    <w:rsid w:val="0036314E"/>
    <w:rsid w:val="0036348E"/>
    <w:rsid w:val="00363801"/>
    <w:rsid w:val="00364ACE"/>
    <w:rsid w:val="00364E7E"/>
    <w:rsid w:val="003658D6"/>
    <w:rsid w:val="0036672C"/>
    <w:rsid w:val="00366FCC"/>
    <w:rsid w:val="00366FF8"/>
    <w:rsid w:val="00367A58"/>
    <w:rsid w:val="00367E0A"/>
    <w:rsid w:val="00370286"/>
    <w:rsid w:val="003705F6"/>
    <w:rsid w:val="003723B4"/>
    <w:rsid w:val="0037331F"/>
    <w:rsid w:val="00373C57"/>
    <w:rsid w:val="003740B7"/>
    <w:rsid w:val="00375E00"/>
    <w:rsid w:val="003760A0"/>
    <w:rsid w:val="003832D7"/>
    <w:rsid w:val="003837B1"/>
    <w:rsid w:val="00386922"/>
    <w:rsid w:val="00387BF2"/>
    <w:rsid w:val="00387C39"/>
    <w:rsid w:val="0039019D"/>
    <w:rsid w:val="003912D5"/>
    <w:rsid w:val="00391F67"/>
    <w:rsid w:val="00392EAA"/>
    <w:rsid w:val="003A0160"/>
    <w:rsid w:val="003A3EB0"/>
    <w:rsid w:val="003A4A57"/>
    <w:rsid w:val="003A5F05"/>
    <w:rsid w:val="003A61B2"/>
    <w:rsid w:val="003A7248"/>
    <w:rsid w:val="003A7261"/>
    <w:rsid w:val="003A7F90"/>
    <w:rsid w:val="003B1AA0"/>
    <w:rsid w:val="003B6A0E"/>
    <w:rsid w:val="003B77E1"/>
    <w:rsid w:val="003B79E0"/>
    <w:rsid w:val="003B7AF1"/>
    <w:rsid w:val="003C11F1"/>
    <w:rsid w:val="003C1567"/>
    <w:rsid w:val="003C2411"/>
    <w:rsid w:val="003C2891"/>
    <w:rsid w:val="003C401B"/>
    <w:rsid w:val="003C64D3"/>
    <w:rsid w:val="003D01CA"/>
    <w:rsid w:val="003D155E"/>
    <w:rsid w:val="003D201B"/>
    <w:rsid w:val="003D4DC5"/>
    <w:rsid w:val="003D5042"/>
    <w:rsid w:val="003E0334"/>
    <w:rsid w:val="003E0F4B"/>
    <w:rsid w:val="003E1642"/>
    <w:rsid w:val="003E2426"/>
    <w:rsid w:val="003E28EB"/>
    <w:rsid w:val="003E2A27"/>
    <w:rsid w:val="003E2B06"/>
    <w:rsid w:val="003E36B2"/>
    <w:rsid w:val="003E51AF"/>
    <w:rsid w:val="003E53CD"/>
    <w:rsid w:val="003E63A5"/>
    <w:rsid w:val="003F089A"/>
    <w:rsid w:val="003F14A5"/>
    <w:rsid w:val="003F1564"/>
    <w:rsid w:val="003F2151"/>
    <w:rsid w:val="003F2833"/>
    <w:rsid w:val="003F3538"/>
    <w:rsid w:val="003F4E19"/>
    <w:rsid w:val="003F544B"/>
    <w:rsid w:val="003F5AD0"/>
    <w:rsid w:val="003F5B6A"/>
    <w:rsid w:val="003F6875"/>
    <w:rsid w:val="004007BD"/>
    <w:rsid w:val="004009E1"/>
    <w:rsid w:val="004017CC"/>
    <w:rsid w:val="004022A2"/>
    <w:rsid w:val="00402E76"/>
    <w:rsid w:val="00403150"/>
    <w:rsid w:val="00406281"/>
    <w:rsid w:val="0040675D"/>
    <w:rsid w:val="00406AE8"/>
    <w:rsid w:val="00406F98"/>
    <w:rsid w:val="00410CE6"/>
    <w:rsid w:val="00411D91"/>
    <w:rsid w:val="00412EB7"/>
    <w:rsid w:val="00413576"/>
    <w:rsid w:val="00413EB4"/>
    <w:rsid w:val="00417591"/>
    <w:rsid w:val="00417F65"/>
    <w:rsid w:val="00420040"/>
    <w:rsid w:val="00420907"/>
    <w:rsid w:val="00420EB0"/>
    <w:rsid w:val="0042117F"/>
    <w:rsid w:val="00424594"/>
    <w:rsid w:val="00425F70"/>
    <w:rsid w:val="004262CB"/>
    <w:rsid w:val="00426456"/>
    <w:rsid w:val="00426EFC"/>
    <w:rsid w:val="004300B1"/>
    <w:rsid w:val="00431972"/>
    <w:rsid w:val="00432334"/>
    <w:rsid w:val="00432942"/>
    <w:rsid w:val="004364E0"/>
    <w:rsid w:val="00436BF1"/>
    <w:rsid w:val="0043700B"/>
    <w:rsid w:val="00437233"/>
    <w:rsid w:val="00437CBD"/>
    <w:rsid w:val="0044123A"/>
    <w:rsid w:val="00441615"/>
    <w:rsid w:val="0044223B"/>
    <w:rsid w:val="004449FC"/>
    <w:rsid w:val="00444D19"/>
    <w:rsid w:val="00446E87"/>
    <w:rsid w:val="004505D5"/>
    <w:rsid w:val="00450D7B"/>
    <w:rsid w:val="00450F0F"/>
    <w:rsid w:val="00452375"/>
    <w:rsid w:val="004537E7"/>
    <w:rsid w:val="00455D5F"/>
    <w:rsid w:val="0045619E"/>
    <w:rsid w:val="00456305"/>
    <w:rsid w:val="00456350"/>
    <w:rsid w:val="00456A9E"/>
    <w:rsid w:val="00457A8A"/>
    <w:rsid w:val="00457D6C"/>
    <w:rsid w:val="0046019C"/>
    <w:rsid w:val="00461E44"/>
    <w:rsid w:val="00462357"/>
    <w:rsid w:val="00463516"/>
    <w:rsid w:val="00464A1E"/>
    <w:rsid w:val="00464B10"/>
    <w:rsid w:val="00466C93"/>
    <w:rsid w:val="0046748B"/>
    <w:rsid w:val="00470DB3"/>
    <w:rsid w:val="00470DD8"/>
    <w:rsid w:val="00471090"/>
    <w:rsid w:val="00471F8E"/>
    <w:rsid w:val="004734FA"/>
    <w:rsid w:val="004736AD"/>
    <w:rsid w:val="00474CAF"/>
    <w:rsid w:val="00474E2D"/>
    <w:rsid w:val="00477411"/>
    <w:rsid w:val="004805CE"/>
    <w:rsid w:val="00480FAD"/>
    <w:rsid w:val="004814A9"/>
    <w:rsid w:val="004826E8"/>
    <w:rsid w:val="004833C9"/>
    <w:rsid w:val="004834B7"/>
    <w:rsid w:val="00484394"/>
    <w:rsid w:val="00485D80"/>
    <w:rsid w:val="0048694D"/>
    <w:rsid w:val="004919A9"/>
    <w:rsid w:val="004928C6"/>
    <w:rsid w:val="00492C64"/>
    <w:rsid w:val="0049319A"/>
    <w:rsid w:val="004968B8"/>
    <w:rsid w:val="00496A09"/>
    <w:rsid w:val="004A019B"/>
    <w:rsid w:val="004A0BC2"/>
    <w:rsid w:val="004A174D"/>
    <w:rsid w:val="004A190C"/>
    <w:rsid w:val="004A2A50"/>
    <w:rsid w:val="004A3BA8"/>
    <w:rsid w:val="004A440C"/>
    <w:rsid w:val="004A4D28"/>
    <w:rsid w:val="004A58B0"/>
    <w:rsid w:val="004A5A25"/>
    <w:rsid w:val="004A607F"/>
    <w:rsid w:val="004A7830"/>
    <w:rsid w:val="004B248D"/>
    <w:rsid w:val="004B2CE9"/>
    <w:rsid w:val="004B3B3B"/>
    <w:rsid w:val="004B4705"/>
    <w:rsid w:val="004B5872"/>
    <w:rsid w:val="004B59F4"/>
    <w:rsid w:val="004B5E08"/>
    <w:rsid w:val="004B6525"/>
    <w:rsid w:val="004B6622"/>
    <w:rsid w:val="004B733D"/>
    <w:rsid w:val="004B756C"/>
    <w:rsid w:val="004C0B6D"/>
    <w:rsid w:val="004C15EB"/>
    <w:rsid w:val="004C342E"/>
    <w:rsid w:val="004C36FF"/>
    <w:rsid w:val="004C5FB6"/>
    <w:rsid w:val="004C6AF5"/>
    <w:rsid w:val="004C73D5"/>
    <w:rsid w:val="004C77C0"/>
    <w:rsid w:val="004D0095"/>
    <w:rsid w:val="004D028B"/>
    <w:rsid w:val="004D052F"/>
    <w:rsid w:val="004D07C1"/>
    <w:rsid w:val="004D0CDC"/>
    <w:rsid w:val="004D362A"/>
    <w:rsid w:val="004D409D"/>
    <w:rsid w:val="004D42AA"/>
    <w:rsid w:val="004D44E2"/>
    <w:rsid w:val="004D5BF3"/>
    <w:rsid w:val="004D5E07"/>
    <w:rsid w:val="004D62B3"/>
    <w:rsid w:val="004D6E35"/>
    <w:rsid w:val="004D6E40"/>
    <w:rsid w:val="004D7B7E"/>
    <w:rsid w:val="004E1425"/>
    <w:rsid w:val="004E168C"/>
    <w:rsid w:val="004E3A55"/>
    <w:rsid w:val="004E416E"/>
    <w:rsid w:val="004F1161"/>
    <w:rsid w:val="004F1488"/>
    <w:rsid w:val="004F198E"/>
    <w:rsid w:val="004F24C4"/>
    <w:rsid w:val="004F395D"/>
    <w:rsid w:val="004F4528"/>
    <w:rsid w:val="004F4918"/>
    <w:rsid w:val="004F4DCE"/>
    <w:rsid w:val="004F599D"/>
    <w:rsid w:val="0050021C"/>
    <w:rsid w:val="00501528"/>
    <w:rsid w:val="00501A51"/>
    <w:rsid w:val="00501DE0"/>
    <w:rsid w:val="0050280B"/>
    <w:rsid w:val="00502EF7"/>
    <w:rsid w:val="00504046"/>
    <w:rsid w:val="00504F12"/>
    <w:rsid w:val="00505329"/>
    <w:rsid w:val="00507310"/>
    <w:rsid w:val="00510D3D"/>
    <w:rsid w:val="00512548"/>
    <w:rsid w:val="00515109"/>
    <w:rsid w:val="00516C92"/>
    <w:rsid w:val="00520432"/>
    <w:rsid w:val="005209C6"/>
    <w:rsid w:val="00520C30"/>
    <w:rsid w:val="00521467"/>
    <w:rsid w:val="005215B1"/>
    <w:rsid w:val="00521E23"/>
    <w:rsid w:val="005252D3"/>
    <w:rsid w:val="00530046"/>
    <w:rsid w:val="00530E17"/>
    <w:rsid w:val="00531EC7"/>
    <w:rsid w:val="005330BF"/>
    <w:rsid w:val="00534755"/>
    <w:rsid w:val="0053535E"/>
    <w:rsid w:val="00537DBE"/>
    <w:rsid w:val="005404BB"/>
    <w:rsid w:val="00540A20"/>
    <w:rsid w:val="005423ED"/>
    <w:rsid w:val="00542844"/>
    <w:rsid w:val="005429FF"/>
    <w:rsid w:val="00542DD7"/>
    <w:rsid w:val="00544CD4"/>
    <w:rsid w:val="00544ECC"/>
    <w:rsid w:val="00544FAE"/>
    <w:rsid w:val="00545D11"/>
    <w:rsid w:val="0054775F"/>
    <w:rsid w:val="00547EFA"/>
    <w:rsid w:val="00552FB9"/>
    <w:rsid w:val="00553C00"/>
    <w:rsid w:val="005546F0"/>
    <w:rsid w:val="0055485C"/>
    <w:rsid w:val="0055729E"/>
    <w:rsid w:val="0056422E"/>
    <w:rsid w:val="00564827"/>
    <w:rsid w:val="00564ED6"/>
    <w:rsid w:val="00566198"/>
    <w:rsid w:val="00566C4E"/>
    <w:rsid w:val="00570182"/>
    <w:rsid w:val="005714A5"/>
    <w:rsid w:val="005717E3"/>
    <w:rsid w:val="00571FBE"/>
    <w:rsid w:val="00573733"/>
    <w:rsid w:val="00575386"/>
    <w:rsid w:val="00575F6B"/>
    <w:rsid w:val="0057600E"/>
    <w:rsid w:val="005808AD"/>
    <w:rsid w:val="005809A1"/>
    <w:rsid w:val="00581C19"/>
    <w:rsid w:val="00583BE7"/>
    <w:rsid w:val="00585BBD"/>
    <w:rsid w:val="00586A57"/>
    <w:rsid w:val="005870D3"/>
    <w:rsid w:val="005875F4"/>
    <w:rsid w:val="00590251"/>
    <w:rsid w:val="0059099C"/>
    <w:rsid w:val="00590F56"/>
    <w:rsid w:val="00592879"/>
    <w:rsid w:val="0059399D"/>
    <w:rsid w:val="00593BDA"/>
    <w:rsid w:val="00594354"/>
    <w:rsid w:val="00595DF0"/>
    <w:rsid w:val="0059686C"/>
    <w:rsid w:val="00596FA2"/>
    <w:rsid w:val="005A0FB6"/>
    <w:rsid w:val="005A1083"/>
    <w:rsid w:val="005A117F"/>
    <w:rsid w:val="005A2814"/>
    <w:rsid w:val="005A44FF"/>
    <w:rsid w:val="005A4EE3"/>
    <w:rsid w:val="005A5E19"/>
    <w:rsid w:val="005A6048"/>
    <w:rsid w:val="005A60E6"/>
    <w:rsid w:val="005A7D94"/>
    <w:rsid w:val="005B1596"/>
    <w:rsid w:val="005B49D9"/>
    <w:rsid w:val="005B4E22"/>
    <w:rsid w:val="005B5103"/>
    <w:rsid w:val="005B5654"/>
    <w:rsid w:val="005B57CD"/>
    <w:rsid w:val="005B7D6F"/>
    <w:rsid w:val="005C1BF0"/>
    <w:rsid w:val="005C5AE5"/>
    <w:rsid w:val="005C69B5"/>
    <w:rsid w:val="005C6A11"/>
    <w:rsid w:val="005C74E9"/>
    <w:rsid w:val="005C7C86"/>
    <w:rsid w:val="005D0FA4"/>
    <w:rsid w:val="005D1166"/>
    <w:rsid w:val="005D1DD0"/>
    <w:rsid w:val="005D245C"/>
    <w:rsid w:val="005D2B5F"/>
    <w:rsid w:val="005D5F2A"/>
    <w:rsid w:val="005D6343"/>
    <w:rsid w:val="005D635C"/>
    <w:rsid w:val="005D6524"/>
    <w:rsid w:val="005D6578"/>
    <w:rsid w:val="005D6C2E"/>
    <w:rsid w:val="005D7384"/>
    <w:rsid w:val="005E3853"/>
    <w:rsid w:val="005E3A58"/>
    <w:rsid w:val="005E5120"/>
    <w:rsid w:val="005E5C58"/>
    <w:rsid w:val="005E6C37"/>
    <w:rsid w:val="005E7206"/>
    <w:rsid w:val="005F040B"/>
    <w:rsid w:val="005F12A6"/>
    <w:rsid w:val="005F18C3"/>
    <w:rsid w:val="005F206C"/>
    <w:rsid w:val="005F289B"/>
    <w:rsid w:val="005F52AE"/>
    <w:rsid w:val="005F54D1"/>
    <w:rsid w:val="005F5A77"/>
    <w:rsid w:val="005F6B7B"/>
    <w:rsid w:val="006003B4"/>
    <w:rsid w:val="006005F3"/>
    <w:rsid w:val="006034D0"/>
    <w:rsid w:val="00604613"/>
    <w:rsid w:val="00604F20"/>
    <w:rsid w:val="00605675"/>
    <w:rsid w:val="006060B4"/>
    <w:rsid w:val="00606853"/>
    <w:rsid w:val="00606F06"/>
    <w:rsid w:val="0061056B"/>
    <w:rsid w:val="00611B86"/>
    <w:rsid w:val="00611C10"/>
    <w:rsid w:val="00612757"/>
    <w:rsid w:val="00613AE3"/>
    <w:rsid w:val="00615DB1"/>
    <w:rsid w:val="00616798"/>
    <w:rsid w:val="006200C2"/>
    <w:rsid w:val="00621A72"/>
    <w:rsid w:val="00621D5D"/>
    <w:rsid w:val="0062262A"/>
    <w:rsid w:val="00624808"/>
    <w:rsid w:val="00624DF1"/>
    <w:rsid w:val="006254FE"/>
    <w:rsid w:val="00626084"/>
    <w:rsid w:val="006260FD"/>
    <w:rsid w:val="00626A7F"/>
    <w:rsid w:val="006277F9"/>
    <w:rsid w:val="00630C24"/>
    <w:rsid w:val="0063194A"/>
    <w:rsid w:val="00631AC0"/>
    <w:rsid w:val="00632DE2"/>
    <w:rsid w:val="00633EFC"/>
    <w:rsid w:val="00634669"/>
    <w:rsid w:val="00636B10"/>
    <w:rsid w:val="006376B4"/>
    <w:rsid w:val="006378EE"/>
    <w:rsid w:val="00637974"/>
    <w:rsid w:val="0064012D"/>
    <w:rsid w:val="00640A5B"/>
    <w:rsid w:val="00640AF0"/>
    <w:rsid w:val="00640D1C"/>
    <w:rsid w:val="0064289C"/>
    <w:rsid w:val="0064325B"/>
    <w:rsid w:val="00646900"/>
    <w:rsid w:val="00646DAC"/>
    <w:rsid w:val="006478D7"/>
    <w:rsid w:val="006500C5"/>
    <w:rsid w:val="006510FB"/>
    <w:rsid w:val="00651B7F"/>
    <w:rsid w:val="00651EF6"/>
    <w:rsid w:val="00653418"/>
    <w:rsid w:val="00653B29"/>
    <w:rsid w:val="00655311"/>
    <w:rsid w:val="00655A3A"/>
    <w:rsid w:val="00657F96"/>
    <w:rsid w:val="00660394"/>
    <w:rsid w:val="00660AD9"/>
    <w:rsid w:val="00660D21"/>
    <w:rsid w:val="00660E30"/>
    <w:rsid w:val="006613B1"/>
    <w:rsid w:val="006615B5"/>
    <w:rsid w:val="006630E2"/>
    <w:rsid w:val="0066361C"/>
    <w:rsid w:val="00663761"/>
    <w:rsid w:val="00663BC7"/>
    <w:rsid w:val="00663F57"/>
    <w:rsid w:val="00665E7B"/>
    <w:rsid w:val="00665F37"/>
    <w:rsid w:val="006666DF"/>
    <w:rsid w:val="00667D74"/>
    <w:rsid w:val="00667EC1"/>
    <w:rsid w:val="0067091C"/>
    <w:rsid w:val="006709F9"/>
    <w:rsid w:val="0067199B"/>
    <w:rsid w:val="00672A6A"/>
    <w:rsid w:val="0067304A"/>
    <w:rsid w:val="006737A4"/>
    <w:rsid w:val="00673DC8"/>
    <w:rsid w:val="00674819"/>
    <w:rsid w:val="00674977"/>
    <w:rsid w:val="0067576A"/>
    <w:rsid w:val="00676079"/>
    <w:rsid w:val="00677A64"/>
    <w:rsid w:val="0068120B"/>
    <w:rsid w:val="0068170B"/>
    <w:rsid w:val="006826D3"/>
    <w:rsid w:val="00682BB1"/>
    <w:rsid w:val="006835A0"/>
    <w:rsid w:val="006835E9"/>
    <w:rsid w:val="006838E4"/>
    <w:rsid w:val="0068455C"/>
    <w:rsid w:val="00684B14"/>
    <w:rsid w:val="00687A1B"/>
    <w:rsid w:val="00687CC7"/>
    <w:rsid w:val="006923E0"/>
    <w:rsid w:val="0069264A"/>
    <w:rsid w:val="00692935"/>
    <w:rsid w:val="006929E6"/>
    <w:rsid w:val="00693313"/>
    <w:rsid w:val="006938EC"/>
    <w:rsid w:val="0069471E"/>
    <w:rsid w:val="00696DC0"/>
    <w:rsid w:val="0069721B"/>
    <w:rsid w:val="00697FB2"/>
    <w:rsid w:val="006A011A"/>
    <w:rsid w:val="006A07B6"/>
    <w:rsid w:val="006A1DFF"/>
    <w:rsid w:val="006A2E01"/>
    <w:rsid w:val="006A352A"/>
    <w:rsid w:val="006A552F"/>
    <w:rsid w:val="006A558E"/>
    <w:rsid w:val="006A5C8F"/>
    <w:rsid w:val="006A6AE7"/>
    <w:rsid w:val="006B067A"/>
    <w:rsid w:val="006B2747"/>
    <w:rsid w:val="006B3BFF"/>
    <w:rsid w:val="006B4748"/>
    <w:rsid w:val="006B4BCE"/>
    <w:rsid w:val="006B6662"/>
    <w:rsid w:val="006B6B2B"/>
    <w:rsid w:val="006B73AE"/>
    <w:rsid w:val="006C03D4"/>
    <w:rsid w:val="006C0A5F"/>
    <w:rsid w:val="006C0D99"/>
    <w:rsid w:val="006C23DD"/>
    <w:rsid w:val="006C2886"/>
    <w:rsid w:val="006C2926"/>
    <w:rsid w:val="006C3F59"/>
    <w:rsid w:val="006C53FE"/>
    <w:rsid w:val="006C5463"/>
    <w:rsid w:val="006C6EA5"/>
    <w:rsid w:val="006D01EF"/>
    <w:rsid w:val="006D4335"/>
    <w:rsid w:val="006D530A"/>
    <w:rsid w:val="006D61F7"/>
    <w:rsid w:val="006D6718"/>
    <w:rsid w:val="006D73DD"/>
    <w:rsid w:val="006D775F"/>
    <w:rsid w:val="006D794F"/>
    <w:rsid w:val="006E2980"/>
    <w:rsid w:val="006E4130"/>
    <w:rsid w:val="006F09AF"/>
    <w:rsid w:val="006F188B"/>
    <w:rsid w:val="006F3CF2"/>
    <w:rsid w:val="006F41B5"/>
    <w:rsid w:val="006F6215"/>
    <w:rsid w:val="00700889"/>
    <w:rsid w:val="00700FAC"/>
    <w:rsid w:val="007021F7"/>
    <w:rsid w:val="00703066"/>
    <w:rsid w:val="007038B9"/>
    <w:rsid w:val="00706AEE"/>
    <w:rsid w:val="007103EE"/>
    <w:rsid w:val="00710F6A"/>
    <w:rsid w:val="00713636"/>
    <w:rsid w:val="00714FFB"/>
    <w:rsid w:val="0071582B"/>
    <w:rsid w:val="00715D54"/>
    <w:rsid w:val="00722501"/>
    <w:rsid w:val="00723227"/>
    <w:rsid w:val="00724BAB"/>
    <w:rsid w:val="007264CE"/>
    <w:rsid w:val="007304D7"/>
    <w:rsid w:val="0073074B"/>
    <w:rsid w:val="00731273"/>
    <w:rsid w:val="00731BAD"/>
    <w:rsid w:val="00731F00"/>
    <w:rsid w:val="007330C6"/>
    <w:rsid w:val="00733242"/>
    <w:rsid w:val="00733C9F"/>
    <w:rsid w:val="00736068"/>
    <w:rsid w:val="007376BE"/>
    <w:rsid w:val="007378C3"/>
    <w:rsid w:val="00740BB8"/>
    <w:rsid w:val="0074142A"/>
    <w:rsid w:val="00742A35"/>
    <w:rsid w:val="00743206"/>
    <w:rsid w:val="00743EED"/>
    <w:rsid w:val="00744826"/>
    <w:rsid w:val="0074690C"/>
    <w:rsid w:val="00746E4A"/>
    <w:rsid w:val="0075026B"/>
    <w:rsid w:val="00751954"/>
    <w:rsid w:val="007529B7"/>
    <w:rsid w:val="00752D9F"/>
    <w:rsid w:val="00753F91"/>
    <w:rsid w:val="00754B05"/>
    <w:rsid w:val="00754C0A"/>
    <w:rsid w:val="00757333"/>
    <w:rsid w:val="00757C20"/>
    <w:rsid w:val="00757D39"/>
    <w:rsid w:val="007615E8"/>
    <w:rsid w:val="00761C4D"/>
    <w:rsid w:val="0076294D"/>
    <w:rsid w:val="007631FD"/>
    <w:rsid w:val="0076436A"/>
    <w:rsid w:val="00770373"/>
    <w:rsid w:val="007709A2"/>
    <w:rsid w:val="00774449"/>
    <w:rsid w:val="0077493A"/>
    <w:rsid w:val="00774BAD"/>
    <w:rsid w:val="00774D5C"/>
    <w:rsid w:val="007751E3"/>
    <w:rsid w:val="00775364"/>
    <w:rsid w:val="00775D18"/>
    <w:rsid w:val="00780651"/>
    <w:rsid w:val="00781C2D"/>
    <w:rsid w:val="00783551"/>
    <w:rsid w:val="00784381"/>
    <w:rsid w:val="00784D75"/>
    <w:rsid w:val="007903C9"/>
    <w:rsid w:val="0079259D"/>
    <w:rsid w:val="00796FE3"/>
    <w:rsid w:val="0079701F"/>
    <w:rsid w:val="007A0068"/>
    <w:rsid w:val="007A2057"/>
    <w:rsid w:val="007A2FD9"/>
    <w:rsid w:val="007A314A"/>
    <w:rsid w:val="007A43B5"/>
    <w:rsid w:val="007A46F4"/>
    <w:rsid w:val="007A518D"/>
    <w:rsid w:val="007A5A0F"/>
    <w:rsid w:val="007B06F5"/>
    <w:rsid w:val="007B0C01"/>
    <w:rsid w:val="007B12E5"/>
    <w:rsid w:val="007B2BFC"/>
    <w:rsid w:val="007B383F"/>
    <w:rsid w:val="007B4073"/>
    <w:rsid w:val="007B4369"/>
    <w:rsid w:val="007B4664"/>
    <w:rsid w:val="007B56B4"/>
    <w:rsid w:val="007B5B73"/>
    <w:rsid w:val="007B6314"/>
    <w:rsid w:val="007C11C1"/>
    <w:rsid w:val="007C1F1B"/>
    <w:rsid w:val="007C2915"/>
    <w:rsid w:val="007C2BFE"/>
    <w:rsid w:val="007C2CFB"/>
    <w:rsid w:val="007C2FD4"/>
    <w:rsid w:val="007C3136"/>
    <w:rsid w:val="007C3731"/>
    <w:rsid w:val="007C43DF"/>
    <w:rsid w:val="007C4F98"/>
    <w:rsid w:val="007C5D6C"/>
    <w:rsid w:val="007C644A"/>
    <w:rsid w:val="007D084F"/>
    <w:rsid w:val="007D1470"/>
    <w:rsid w:val="007D2C90"/>
    <w:rsid w:val="007D4E2C"/>
    <w:rsid w:val="007D57A4"/>
    <w:rsid w:val="007D730F"/>
    <w:rsid w:val="007E28F3"/>
    <w:rsid w:val="007E2CD5"/>
    <w:rsid w:val="007E3D3E"/>
    <w:rsid w:val="007E4113"/>
    <w:rsid w:val="007E4631"/>
    <w:rsid w:val="007E4E1D"/>
    <w:rsid w:val="007E6F5A"/>
    <w:rsid w:val="007E7D98"/>
    <w:rsid w:val="007F1BCA"/>
    <w:rsid w:val="007F4891"/>
    <w:rsid w:val="007F6C6F"/>
    <w:rsid w:val="00801ABB"/>
    <w:rsid w:val="0080237D"/>
    <w:rsid w:val="0080290C"/>
    <w:rsid w:val="00802E5A"/>
    <w:rsid w:val="008041EC"/>
    <w:rsid w:val="0080482B"/>
    <w:rsid w:val="0080681C"/>
    <w:rsid w:val="00806A52"/>
    <w:rsid w:val="00810262"/>
    <w:rsid w:val="0081057F"/>
    <w:rsid w:val="00810B57"/>
    <w:rsid w:val="00812B31"/>
    <w:rsid w:val="008132C8"/>
    <w:rsid w:val="00813EC8"/>
    <w:rsid w:val="0081540A"/>
    <w:rsid w:val="008179D4"/>
    <w:rsid w:val="00817D1F"/>
    <w:rsid w:val="00817F2E"/>
    <w:rsid w:val="0082045A"/>
    <w:rsid w:val="00820487"/>
    <w:rsid w:val="00821EE9"/>
    <w:rsid w:val="0082259A"/>
    <w:rsid w:val="0083008F"/>
    <w:rsid w:val="00831E29"/>
    <w:rsid w:val="0083243A"/>
    <w:rsid w:val="0083261C"/>
    <w:rsid w:val="00835672"/>
    <w:rsid w:val="00837ED7"/>
    <w:rsid w:val="00841023"/>
    <w:rsid w:val="00841629"/>
    <w:rsid w:val="00841B5D"/>
    <w:rsid w:val="00841B7B"/>
    <w:rsid w:val="00843632"/>
    <w:rsid w:val="00843A04"/>
    <w:rsid w:val="00845FF7"/>
    <w:rsid w:val="008465ED"/>
    <w:rsid w:val="00846C2F"/>
    <w:rsid w:val="00846CC6"/>
    <w:rsid w:val="00850489"/>
    <w:rsid w:val="00854E32"/>
    <w:rsid w:val="00855731"/>
    <w:rsid w:val="00856195"/>
    <w:rsid w:val="00856AB7"/>
    <w:rsid w:val="00856B38"/>
    <w:rsid w:val="008578F1"/>
    <w:rsid w:val="00860641"/>
    <w:rsid w:val="0086079D"/>
    <w:rsid w:val="0086161F"/>
    <w:rsid w:val="00862C4C"/>
    <w:rsid w:val="00862CB3"/>
    <w:rsid w:val="00862D0F"/>
    <w:rsid w:val="008639CC"/>
    <w:rsid w:val="0086469A"/>
    <w:rsid w:val="008650F5"/>
    <w:rsid w:val="00865C42"/>
    <w:rsid w:val="00866D95"/>
    <w:rsid w:val="008706FB"/>
    <w:rsid w:val="00871594"/>
    <w:rsid w:val="00871F74"/>
    <w:rsid w:val="0087447F"/>
    <w:rsid w:val="0087454F"/>
    <w:rsid w:val="00875C73"/>
    <w:rsid w:val="008760E0"/>
    <w:rsid w:val="00876BEA"/>
    <w:rsid w:val="00876C7C"/>
    <w:rsid w:val="00877CDA"/>
    <w:rsid w:val="00877ECE"/>
    <w:rsid w:val="008806CC"/>
    <w:rsid w:val="008807FB"/>
    <w:rsid w:val="00880CDC"/>
    <w:rsid w:val="0088140B"/>
    <w:rsid w:val="00881DC0"/>
    <w:rsid w:val="0088453E"/>
    <w:rsid w:val="0088486A"/>
    <w:rsid w:val="00884F8B"/>
    <w:rsid w:val="0088723B"/>
    <w:rsid w:val="0088771D"/>
    <w:rsid w:val="00890223"/>
    <w:rsid w:val="00890E94"/>
    <w:rsid w:val="00891D94"/>
    <w:rsid w:val="00893FE4"/>
    <w:rsid w:val="00894CB9"/>
    <w:rsid w:val="00895B3B"/>
    <w:rsid w:val="008965BF"/>
    <w:rsid w:val="008A0304"/>
    <w:rsid w:val="008A09F6"/>
    <w:rsid w:val="008A1BC9"/>
    <w:rsid w:val="008A2950"/>
    <w:rsid w:val="008A4D48"/>
    <w:rsid w:val="008A71A7"/>
    <w:rsid w:val="008A7215"/>
    <w:rsid w:val="008B0108"/>
    <w:rsid w:val="008B22BD"/>
    <w:rsid w:val="008B3535"/>
    <w:rsid w:val="008B7148"/>
    <w:rsid w:val="008B72F4"/>
    <w:rsid w:val="008C02A4"/>
    <w:rsid w:val="008C0464"/>
    <w:rsid w:val="008C0E26"/>
    <w:rsid w:val="008C30DB"/>
    <w:rsid w:val="008C3580"/>
    <w:rsid w:val="008C4C43"/>
    <w:rsid w:val="008C538C"/>
    <w:rsid w:val="008C64B5"/>
    <w:rsid w:val="008C7889"/>
    <w:rsid w:val="008C7B9C"/>
    <w:rsid w:val="008D1328"/>
    <w:rsid w:val="008D21AC"/>
    <w:rsid w:val="008D2302"/>
    <w:rsid w:val="008D2761"/>
    <w:rsid w:val="008D2A3A"/>
    <w:rsid w:val="008D2A4D"/>
    <w:rsid w:val="008D32CA"/>
    <w:rsid w:val="008D3583"/>
    <w:rsid w:val="008D491D"/>
    <w:rsid w:val="008D56E5"/>
    <w:rsid w:val="008D588A"/>
    <w:rsid w:val="008D637E"/>
    <w:rsid w:val="008D695E"/>
    <w:rsid w:val="008D7630"/>
    <w:rsid w:val="008E085A"/>
    <w:rsid w:val="008E1310"/>
    <w:rsid w:val="008E1D6C"/>
    <w:rsid w:val="008E2EAB"/>
    <w:rsid w:val="008E2F05"/>
    <w:rsid w:val="008E3026"/>
    <w:rsid w:val="008E3353"/>
    <w:rsid w:val="008E478F"/>
    <w:rsid w:val="008E4A66"/>
    <w:rsid w:val="008E4B15"/>
    <w:rsid w:val="008E5177"/>
    <w:rsid w:val="008E5699"/>
    <w:rsid w:val="008E7324"/>
    <w:rsid w:val="008E760D"/>
    <w:rsid w:val="008E7653"/>
    <w:rsid w:val="008E7F2E"/>
    <w:rsid w:val="008F05B9"/>
    <w:rsid w:val="008F07EB"/>
    <w:rsid w:val="008F1839"/>
    <w:rsid w:val="008F1D96"/>
    <w:rsid w:val="008F2BA0"/>
    <w:rsid w:val="008F2BF9"/>
    <w:rsid w:val="008F2E02"/>
    <w:rsid w:val="008F2E11"/>
    <w:rsid w:val="008F3169"/>
    <w:rsid w:val="008F429C"/>
    <w:rsid w:val="008F42B2"/>
    <w:rsid w:val="008F49F0"/>
    <w:rsid w:val="008F5017"/>
    <w:rsid w:val="008F5C81"/>
    <w:rsid w:val="008F5F4C"/>
    <w:rsid w:val="008F64EC"/>
    <w:rsid w:val="008F66A4"/>
    <w:rsid w:val="008F6FBC"/>
    <w:rsid w:val="008F7543"/>
    <w:rsid w:val="008F7C7F"/>
    <w:rsid w:val="008F7F60"/>
    <w:rsid w:val="00901A19"/>
    <w:rsid w:val="00901DE4"/>
    <w:rsid w:val="00902665"/>
    <w:rsid w:val="0090363F"/>
    <w:rsid w:val="0090411E"/>
    <w:rsid w:val="009041DF"/>
    <w:rsid w:val="0090457A"/>
    <w:rsid w:val="00904673"/>
    <w:rsid w:val="00904FD8"/>
    <w:rsid w:val="0090520F"/>
    <w:rsid w:val="0090717F"/>
    <w:rsid w:val="00907C37"/>
    <w:rsid w:val="009105D6"/>
    <w:rsid w:val="009134B8"/>
    <w:rsid w:val="00914303"/>
    <w:rsid w:val="00914649"/>
    <w:rsid w:val="009159C9"/>
    <w:rsid w:val="00915E3C"/>
    <w:rsid w:val="00915E3F"/>
    <w:rsid w:val="0092188E"/>
    <w:rsid w:val="00922528"/>
    <w:rsid w:val="00923E4E"/>
    <w:rsid w:val="00924DB3"/>
    <w:rsid w:val="00924EA9"/>
    <w:rsid w:val="0092516A"/>
    <w:rsid w:val="00925ADD"/>
    <w:rsid w:val="00931150"/>
    <w:rsid w:val="00932585"/>
    <w:rsid w:val="00932955"/>
    <w:rsid w:val="00933519"/>
    <w:rsid w:val="00933768"/>
    <w:rsid w:val="00934DBD"/>
    <w:rsid w:val="00935269"/>
    <w:rsid w:val="00936065"/>
    <w:rsid w:val="009365F8"/>
    <w:rsid w:val="00936A99"/>
    <w:rsid w:val="00936FFE"/>
    <w:rsid w:val="009447D0"/>
    <w:rsid w:val="00946591"/>
    <w:rsid w:val="00947233"/>
    <w:rsid w:val="0094745B"/>
    <w:rsid w:val="009476B7"/>
    <w:rsid w:val="009520D6"/>
    <w:rsid w:val="009522C0"/>
    <w:rsid w:val="0095232A"/>
    <w:rsid w:val="00952982"/>
    <w:rsid w:val="00952D9D"/>
    <w:rsid w:val="009532C0"/>
    <w:rsid w:val="00953B96"/>
    <w:rsid w:val="00954181"/>
    <w:rsid w:val="00954B28"/>
    <w:rsid w:val="009555BF"/>
    <w:rsid w:val="0095706D"/>
    <w:rsid w:val="00957C90"/>
    <w:rsid w:val="00960C79"/>
    <w:rsid w:val="0096199A"/>
    <w:rsid w:val="00962366"/>
    <w:rsid w:val="00964496"/>
    <w:rsid w:val="00966298"/>
    <w:rsid w:val="009666D9"/>
    <w:rsid w:val="009670B9"/>
    <w:rsid w:val="00967228"/>
    <w:rsid w:val="00967517"/>
    <w:rsid w:val="00967B32"/>
    <w:rsid w:val="00971B7B"/>
    <w:rsid w:val="00971E70"/>
    <w:rsid w:val="009725A8"/>
    <w:rsid w:val="00972F0C"/>
    <w:rsid w:val="00973E83"/>
    <w:rsid w:val="00974F4F"/>
    <w:rsid w:val="009753CF"/>
    <w:rsid w:val="0097620E"/>
    <w:rsid w:val="009775F8"/>
    <w:rsid w:val="00980BB2"/>
    <w:rsid w:val="009814ED"/>
    <w:rsid w:val="00982A50"/>
    <w:rsid w:val="00984492"/>
    <w:rsid w:val="009845D1"/>
    <w:rsid w:val="00984CE7"/>
    <w:rsid w:val="0098536C"/>
    <w:rsid w:val="00985783"/>
    <w:rsid w:val="009858B9"/>
    <w:rsid w:val="009870FD"/>
    <w:rsid w:val="00987191"/>
    <w:rsid w:val="0098758F"/>
    <w:rsid w:val="009879CE"/>
    <w:rsid w:val="00987E8C"/>
    <w:rsid w:val="00990046"/>
    <w:rsid w:val="009936B5"/>
    <w:rsid w:val="00994B3D"/>
    <w:rsid w:val="0099757F"/>
    <w:rsid w:val="0099778F"/>
    <w:rsid w:val="0099791E"/>
    <w:rsid w:val="009A0477"/>
    <w:rsid w:val="009A3081"/>
    <w:rsid w:val="009A61D2"/>
    <w:rsid w:val="009B077C"/>
    <w:rsid w:val="009B0F8C"/>
    <w:rsid w:val="009B0FAE"/>
    <w:rsid w:val="009B5512"/>
    <w:rsid w:val="009B5ED7"/>
    <w:rsid w:val="009B6566"/>
    <w:rsid w:val="009B68AC"/>
    <w:rsid w:val="009B7BDB"/>
    <w:rsid w:val="009B7C67"/>
    <w:rsid w:val="009C1522"/>
    <w:rsid w:val="009C2A94"/>
    <w:rsid w:val="009C2AAE"/>
    <w:rsid w:val="009C2E56"/>
    <w:rsid w:val="009C306D"/>
    <w:rsid w:val="009C3631"/>
    <w:rsid w:val="009C512B"/>
    <w:rsid w:val="009C5BAB"/>
    <w:rsid w:val="009C5D21"/>
    <w:rsid w:val="009C5F28"/>
    <w:rsid w:val="009C6DD9"/>
    <w:rsid w:val="009C7810"/>
    <w:rsid w:val="009C796B"/>
    <w:rsid w:val="009C7F7F"/>
    <w:rsid w:val="009D001F"/>
    <w:rsid w:val="009D0154"/>
    <w:rsid w:val="009D0F0E"/>
    <w:rsid w:val="009D212E"/>
    <w:rsid w:val="009D3B21"/>
    <w:rsid w:val="009D4CC3"/>
    <w:rsid w:val="009D6C91"/>
    <w:rsid w:val="009D6F03"/>
    <w:rsid w:val="009E0A1F"/>
    <w:rsid w:val="009E0A8A"/>
    <w:rsid w:val="009E0F4E"/>
    <w:rsid w:val="009E1340"/>
    <w:rsid w:val="009E3423"/>
    <w:rsid w:val="009E43A3"/>
    <w:rsid w:val="009E5052"/>
    <w:rsid w:val="009E67C7"/>
    <w:rsid w:val="009E6B06"/>
    <w:rsid w:val="009E6F07"/>
    <w:rsid w:val="009F05F8"/>
    <w:rsid w:val="009F0CD6"/>
    <w:rsid w:val="009F3CAE"/>
    <w:rsid w:val="009F4E8E"/>
    <w:rsid w:val="009F4F29"/>
    <w:rsid w:val="009F6351"/>
    <w:rsid w:val="009F7950"/>
    <w:rsid w:val="009F7966"/>
    <w:rsid w:val="009F7E3B"/>
    <w:rsid w:val="00A00195"/>
    <w:rsid w:val="00A018C6"/>
    <w:rsid w:val="00A025FD"/>
    <w:rsid w:val="00A02F59"/>
    <w:rsid w:val="00A03329"/>
    <w:rsid w:val="00A03FB3"/>
    <w:rsid w:val="00A05574"/>
    <w:rsid w:val="00A06234"/>
    <w:rsid w:val="00A109C5"/>
    <w:rsid w:val="00A12E2E"/>
    <w:rsid w:val="00A156E8"/>
    <w:rsid w:val="00A16A00"/>
    <w:rsid w:val="00A2159D"/>
    <w:rsid w:val="00A24409"/>
    <w:rsid w:val="00A2587D"/>
    <w:rsid w:val="00A26305"/>
    <w:rsid w:val="00A27C17"/>
    <w:rsid w:val="00A30720"/>
    <w:rsid w:val="00A310E2"/>
    <w:rsid w:val="00A314A1"/>
    <w:rsid w:val="00A32E7B"/>
    <w:rsid w:val="00A33248"/>
    <w:rsid w:val="00A33A2C"/>
    <w:rsid w:val="00A34C91"/>
    <w:rsid w:val="00A35378"/>
    <w:rsid w:val="00A3617A"/>
    <w:rsid w:val="00A36425"/>
    <w:rsid w:val="00A370C8"/>
    <w:rsid w:val="00A40251"/>
    <w:rsid w:val="00A402C5"/>
    <w:rsid w:val="00A410B7"/>
    <w:rsid w:val="00A41E05"/>
    <w:rsid w:val="00A42271"/>
    <w:rsid w:val="00A42FAF"/>
    <w:rsid w:val="00A44B42"/>
    <w:rsid w:val="00A45DC5"/>
    <w:rsid w:val="00A4622F"/>
    <w:rsid w:val="00A464AB"/>
    <w:rsid w:val="00A5012D"/>
    <w:rsid w:val="00A5065E"/>
    <w:rsid w:val="00A50E8F"/>
    <w:rsid w:val="00A5121A"/>
    <w:rsid w:val="00A5295B"/>
    <w:rsid w:val="00A5412F"/>
    <w:rsid w:val="00A54839"/>
    <w:rsid w:val="00A54B85"/>
    <w:rsid w:val="00A552D1"/>
    <w:rsid w:val="00A55CBC"/>
    <w:rsid w:val="00A566D5"/>
    <w:rsid w:val="00A604BA"/>
    <w:rsid w:val="00A60D28"/>
    <w:rsid w:val="00A626B3"/>
    <w:rsid w:val="00A62F73"/>
    <w:rsid w:val="00A636BB"/>
    <w:rsid w:val="00A64B12"/>
    <w:rsid w:val="00A65B0E"/>
    <w:rsid w:val="00A65BB1"/>
    <w:rsid w:val="00A66A84"/>
    <w:rsid w:val="00A66F75"/>
    <w:rsid w:val="00A670C2"/>
    <w:rsid w:val="00A67EF3"/>
    <w:rsid w:val="00A67F3D"/>
    <w:rsid w:val="00A70399"/>
    <w:rsid w:val="00A70AD3"/>
    <w:rsid w:val="00A7165E"/>
    <w:rsid w:val="00A71CB8"/>
    <w:rsid w:val="00A722DD"/>
    <w:rsid w:val="00A72918"/>
    <w:rsid w:val="00A72A9B"/>
    <w:rsid w:val="00A72BEF"/>
    <w:rsid w:val="00A736C9"/>
    <w:rsid w:val="00A7380F"/>
    <w:rsid w:val="00A74F4D"/>
    <w:rsid w:val="00A75922"/>
    <w:rsid w:val="00A808CB"/>
    <w:rsid w:val="00A81EBE"/>
    <w:rsid w:val="00A839C8"/>
    <w:rsid w:val="00A8445A"/>
    <w:rsid w:val="00A862B4"/>
    <w:rsid w:val="00A86417"/>
    <w:rsid w:val="00A86D93"/>
    <w:rsid w:val="00A87A60"/>
    <w:rsid w:val="00A87CB2"/>
    <w:rsid w:val="00A90D0B"/>
    <w:rsid w:val="00A921AA"/>
    <w:rsid w:val="00A92E19"/>
    <w:rsid w:val="00A93FB2"/>
    <w:rsid w:val="00A95A3B"/>
    <w:rsid w:val="00A97093"/>
    <w:rsid w:val="00AA33E5"/>
    <w:rsid w:val="00AA395F"/>
    <w:rsid w:val="00AA46E8"/>
    <w:rsid w:val="00AA4D5B"/>
    <w:rsid w:val="00AA56C4"/>
    <w:rsid w:val="00AA71DA"/>
    <w:rsid w:val="00AA7374"/>
    <w:rsid w:val="00AA77FE"/>
    <w:rsid w:val="00AB0290"/>
    <w:rsid w:val="00AB0693"/>
    <w:rsid w:val="00AB19B0"/>
    <w:rsid w:val="00AB2868"/>
    <w:rsid w:val="00AB4E1F"/>
    <w:rsid w:val="00AB57B7"/>
    <w:rsid w:val="00AB657A"/>
    <w:rsid w:val="00AC2114"/>
    <w:rsid w:val="00AC3AE3"/>
    <w:rsid w:val="00AC4958"/>
    <w:rsid w:val="00AC5C4A"/>
    <w:rsid w:val="00AC6031"/>
    <w:rsid w:val="00AC60C7"/>
    <w:rsid w:val="00AC66ED"/>
    <w:rsid w:val="00AC6A46"/>
    <w:rsid w:val="00AC6D45"/>
    <w:rsid w:val="00AD10E6"/>
    <w:rsid w:val="00AD2A6B"/>
    <w:rsid w:val="00AD3CE4"/>
    <w:rsid w:val="00AD5A0D"/>
    <w:rsid w:val="00AD6B5C"/>
    <w:rsid w:val="00AE18FB"/>
    <w:rsid w:val="00AE2E77"/>
    <w:rsid w:val="00AE2FB3"/>
    <w:rsid w:val="00AE421B"/>
    <w:rsid w:val="00AE44C1"/>
    <w:rsid w:val="00AE4E5E"/>
    <w:rsid w:val="00AE6CC9"/>
    <w:rsid w:val="00AE76AF"/>
    <w:rsid w:val="00AE7C63"/>
    <w:rsid w:val="00AF0E3A"/>
    <w:rsid w:val="00AF1A3C"/>
    <w:rsid w:val="00AF1B4E"/>
    <w:rsid w:val="00AF2473"/>
    <w:rsid w:val="00AF2496"/>
    <w:rsid w:val="00AF2A33"/>
    <w:rsid w:val="00AF57F3"/>
    <w:rsid w:val="00AF5A45"/>
    <w:rsid w:val="00AF763D"/>
    <w:rsid w:val="00AF78B8"/>
    <w:rsid w:val="00B00674"/>
    <w:rsid w:val="00B040E4"/>
    <w:rsid w:val="00B0481F"/>
    <w:rsid w:val="00B04ADB"/>
    <w:rsid w:val="00B04D46"/>
    <w:rsid w:val="00B05225"/>
    <w:rsid w:val="00B05EA0"/>
    <w:rsid w:val="00B06551"/>
    <w:rsid w:val="00B07C3E"/>
    <w:rsid w:val="00B1034C"/>
    <w:rsid w:val="00B105CF"/>
    <w:rsid w:val="00B11033"/>
    <w:rsid w:val="00B11265"/>
    <w:rsid w:val="00B113C8"/>
    <w:rsid w:val="00B13B45"/>
    <w:rsid w:val="00B140DA"/>
    <w:rsid w:val="00B14782"/>
    <w:rsid w:val="00B14963"/>
    <w:rsid w:val="00B15CED"/>
    <w:rsid w:val="00B16D47"/>
    <w:rsid w:val="00B17A7C"/>
    <w:rsid w:val="00B20A8B"/>
    <w:rsid w:val="00B20FE4"/>
    <w:rsid w:val="00B21D6A"/>
    <w:rsid w:val="00B21E81"/>
    <w:rsid w:val="00B21F44"/>
    <w:rsid w:val="00B22952"/>
    <w:rsid w:val="00B22B96"/>
    <w:rsid w:val="00B22E2D"/>
    <w:rsid w:val="00B233EB"/>
    <w:rsid w:val="00B239DC"/>
    <w:rsid w:val="00B23CC5"/>
    <w:rsid w:val="00B24CAF"/>
    <w:rsid w:val="00B250DA"/>
    <w:rsid w:val="00B27786"/>
    <w:rsid w:val="00B302CE"/>
    <w:rsid w:val="00B349A1"/>
    <w:rsid w:val="00B34CBD"/>
    <w:rsid w:val="00B352AB"/>
    <w:rsid w:val="00B35416"/>
    <w:rsid w:val="00B36231"/>
    <w:rsid w:val="00B3738E"/>
    <w:rsid w:val="00B420FB"/>
    <w:rsid w:val="00B43B99"/>
    <w:rsid w:val="00B43F30"/>
    <w:rsid w:val="00B43FB4"/>
    <w:rsid w:val="00B444AA"/>
    <w:rsid w:val="00B44A44"/>
    <w:rsid w:val="00B518E7"/>
    <w:rsid w:val="00B52A00"/>
    <w:rsid w:val="00B52CEB"/>
    <w:rsid w:val="00B54195"/>
    <w:rsid w:val="00B541B5"/>
    <w:rsid w:val="00B54BB3"/>
    <w:rsid w:val="00B54BEA"/>
    <w:rsid w:val="00B550E5"/>
    <w:rsid w:val="00B5532D"/>
    <w:rsid w:val="00B574B7"/>
    <w:rsid w:val="00B57684"/>
    <w:rsid w:val="00B57A98"/>
    <w:rsid w:val="00B601AA"/>
    <w:rsid w:val="00B60B37"/>
    <w:rsid w:val="00B62B2A"/>
    <w:rsid w:val="00B62D12"/>
    <w:rsid w:val="00B62D9C"/>
    <w:rsid w:val="00B630F8"/>
    <w:rsid w:val="00B638F5"/>
    <w:rsid w:val="00B6514E"/>
    <w:rsid w:val="00B66217"/>
    <w:rsid w:val="00B66B79"/>
    <w:rsid w:val="00B702A8"/>
    <w:rsid w:val="00B702CB"/>
    <w:rsid w:val="00B70F71"/>
    <w:rsid w:val="00B71D8D"/>
    <w:rsid w:val="00B71E91"/>
    <w:rsid w:val="00B73964"/>
    <w:rsid w:val="00B7481E"/>
    <w:rsid w:val="00B758B7"/>
    <w:rsid w:val="00B767EA"/>
    <w:rsid w:val="00B76F8B"/>
    <w:rsid w:val="00B777A3"/>
    <w:rsid w:val="00B809FE"/>
    <w:rsid w:val="00B80F11"/>
    <w:rsid w:val="00B84BE9"/>
    <w:rsid w:val="00B84C5A"/>
    <w:rsid w:val="00B8539F"/>
    <w:rsid w:val="00B85B2E"/>
    <w:rsid w:val="00B85D26"/>
    <w:rsid w:val="00B8741D"/>
    <w:rsid w:val="00B908F8"/>
    <w:rsid w:val="00B90A0F"/>
    <w:rsid w:val="00B934E9"/>
    <w:rsid w:val="00B93990"/>
    <w:rsid w:val="00B955BD"/>
    <w:rsid w:val="00B97646"/>
    <w:rsid w:val="00BA07B9"/>
    <w:rsid w:val="00BA198A"/>
    <w:rsid w:val="00BA23AB"/>
    <w:rsid w:val="00BA2D45"/>
    <w:rsid w:val="00BA3826"/>
    <w:rsid w:val="00BA4CCA"/>
    <w:rsid w:val="00BA4FF0"/>
    <w:rsid w:val="00BA519D"/>
    <w:rsid w:val="00BA59B6"/>
    <w:rsid w:val="00BA7835"/>
    <w:rsid w:val="00BA7B3B"/>
    <w:rsid w:val="00BA7E0C"/>
    <w:rsid w:val="00BB0C1C"/>
    <w:rsid w:val="00BB1A51"/>
    <w:rsid w:val="00BB2088"/>
    <w:rsid w:val="00BB2AFF"/>
    <w:rsid w:val="00BB321C"/>
    <w:rsid w:val="00BB324A"/>
    <w:rsid w:val="00BB332E"/>
    <w:rsid w:val="00BB4FCA"/>
    <w:rsid w:val="00BB5F00"/>
    <w:rsid w:val="00BB7B60"/>
    <w:rsid w:val="00BC0024"/>
    <w:rsid w:val="00BC1AB4"/>
    <w:rsid w:val="00BC1E23"/>
    <w:rsid w:val="00BC1E9E"/>
    <w:rsid w:val="00BC55A3"/>
    <w:rsid w:val="00BC57CD"/>
    <w:rsid w:val="00BC6D6D"/>
    <w:rsid w:val="00BC713B"/>
    <w:rsid w:val="00BC7196"/>
    <w:rsid w:val="00BD014C"/>
    <w:rsid w:val="00BD0F47"/>
    <w:rsid w:val="00BD1018"/>
    <w:rsid w:val="00BD184C"/>
    <w:rsid w:val="00BD2474"/>
    <w:rsid w:val="00BD272C"/>
    <w:rsid w:val="00BD35DE"/>
    <w:rsid w:val="00BD37A9"/>
    <w:rsid w:val="00BD38F6"/>
    <w:rsid w:val="00BD52C2"/>
    <w:rsid w:val="00BD6990"/>
    <w:rsid w:val="00BD73B9"/>
    <w:rsid w:val="00BD7C4C"/>
    <w:rsid w:val="00BD7EF4"/>
    <w:rsid w:val="00BE1BC5"/>
    <w:rsid w:val="00BE24BF"/>
    <w:rsid w:val="00BE3152"/>
    <w:rsid w:val="00BE4DEB"/>
    <w:rsid w:val="00BE5DAE"/>
    <w:rsid w:val="00BE5E37"/>
    <w:rsid w:val="00BE61C0"/>
    <w:rsid w:val="00BE6B6C"/>
    <w:rsid w:val="00BF0AA4"/>
    <w:rsid w:val="00BF0D14"/>
    <w:rsid w:val="00BF10C6"/>
    <w:rsid w:val="00BF126E"/>
    <w:rsid w:val="00BF2FDE"/>
    <w:rsid w:val="00BF3D9F"/>
    <w:rsid w:val="00BF3ED7"/>
    <w:rsid w:val="00BF4BD3"/>
    <w:rsid w:val="00BF5288"/>
    <w:rsid w:val="00BF5FD4"/>
    <w:rsid w:val="00BF6729"/>
    <w:rsid w:val="00BF7F9B"/>
    <w:rsid w:val="00BF7FA2"/>
    <w:rsid w:val="00C00879"/>
    <w:rsid w:val="00C00912"/>
    <w:rsid w:val="00C0122A"/>
    <w:rsid w:val="00C015E1"/>
    <w:rsid w:val="00C0229D"/>
    <w:rsid w:val="00C0237A"/>
    <w:rsid w:val="00C0512F"/>
    <w:rsid w:val="00C07B71"/>
    <w:rsid w:val="00C10BD2"/>
    <w:rsid w:val="00C11035"/>
    <w:rsid w:val="00C11926"/>
    <w:rsid w:val="00C12962"/>
    <w:rsid w:val="00C129EC"/>
    <w:rsid w:val="00C13D6C"/>
    <w:rsid w:val="00C158F5"/>
    <w:rsid w:val="00C162E4"/>
    <w:rsid w:val="00C16C44"/>
    <w:rsid w:val="00C17220"/>
    <w:rsid w:val="00C17A0E"/>
    <w:rsid w:val="00C200AF"/>
    <w:rsid w:val="00C206F3"/>
    <w:rsid w:val="00C22358"/>
    <w:rsid w:val="00C22AD1"/>
    <w:rsid w:val="00C22B5D"/>
    <w:rsid w:val="00C23F9F"/>
    <w:rsid w:val="00C24147"/>
    <w:rsid w:val="00C2486C"/>
    <w:rsid w:val="00C2693B"/>
    <w:rsid w:val="00C30FC8"/>
    <w:rsid w:val="00C3185C"/>
    <w:rsid w:val="00C328F4"/>
    <w:rsid w:val="00C33F03"/>
    <w:rsid w:val="00C3412D"/>
    <w:rsid w:val="00C3657C"/>
    <w:rsid w:val="00C36614"/>
    <w:rsid w:val="00C36B66"/>
    <w:rsid w:val="00C374DA"/>
    <w:rsid w:val="00C403EA"/>
    <w:rsid w:val="00C4125E"/>
    <w:rsid w:val="00C4198D"/>
    <w:rsid w:val="00C42748"/>
    <w:rsid w:val="00C432E6"/>
    <w:rsid w:val="00C43798"/>
    <w:rsid w:val="00C4390D"/>
    <w:rsid w:val="00C45A9A"/>
    <w:rsid w:val="00C45CAF"/>
    <w:rsid w:val="00C46305"/>
    <w:rsid w:val="00C4730D"/>
    <w:rsid w:val="00C5015C"/>
    <w:rsid w:val="00C5212B"/>
    <w:rsid w:val="00C53962"/>
    <w:rsid w:val="00C539DA"/>
    <w:rsid w:val="00C55682"/>
    <w:rsid w:val="00C55887"/>
    <w:rsid w:val="00C5767A"/>
    <w:rsid w:val="00C5785E"/>
    <w:rsid w:val="00C608EE"/>
    <w:rsid w:val="00C60CB8"/>
    <w:rsid w:val="00C61774"/>
    <w:rsid w:val="00C6209B"/>
    <w:rsid w:val="00C6308B"/>
    <w:rsid w:val="00C64D81"/>
    <w:rsid w:val="00C64E8B"/>
    <w:rsid w:val="00C65868"/>
    <w:rsid w:val="00C66FC1"/>
    <w:rsid w:val="00C67F03"/>
    <w:rsid w:val="00C716EE"/>
    <w:rsid w:val="00C71C0E"/>
    <w:rsid w:val="00C71C96"/>
    <w:rsid w:val="00C726D2"/>
    <w:rsid w:val="00C746D0"/>
    <w:rsid w:val="00C754F1"/>
    <w:rsid w:val="00C76077"/>
    <w:rsid w:val="00C760DF"/>
    <w:rsid w:val="00C76F66"/>
    <w:rsid w:val="00C77BEF"/>
    <w:rsid w:val="00C83C0A"/>
    <w:rsid w:val="00C849C4"/>
    <w:rsid w:val="00C84C92"/>
    <w:rsid w:val="00C8627A"/>
    <w:rsid w:val="00C90B0B"/>
    <w:rsid w:val="00C90CDA"/>
    <w:rsid w:val="00C91DA8"/>
    <w:rsid w:val="00C9510F"/>
    <w:rsid w:val="00C95115"/>
    <w:rsid w:val="00C969D6"/>
    <w:rsid w:val="00C96A3A"/>
    <w:rsid w:val="00C96DFF"/>
    <w:rsid w:val="00CA0B6E"/>
    <w:rsid w:val="00CA261B"/>
    <w:rsid w:val="00CA2B33"/>
    <w:rsid w:val="00CA3762"/>
    <w:rsid w:val="00CA54FC"/>
    <w:rsid w:val="00CA5B27"/>
    <w:rsid w:val="00CA5EA3"/>
    <w:rsid w:val="00CA63F8"/>
    <w:rsid w:val="00CA7071"/>
    <w:rsid w:val="00CA746B"/>
    <w:rsid w:val="00CB045E"/>
    <w:rsid w:val="00CB0681"/>
    <w:rsid w:val="00CB1934"/>
    <w:rsid w:val="00CB1A59"/>
    <w:rsid w:val="00CB1EF7"/>
    <w:rsid w:val="00CB22DB"/>
    <w:rsid w:val="00CB3229"/>
    <w:rsid w:val="00CB41CE"/>
    <w:rsid w:val="00CB7146"/>
    <w:rsid w:val="00CB7691"/>
    <w:rsid w:val="00CB7EB8"/>
    <w:rsid w:val="00CC0744"/>
    <w:rsid w:val="00CC1189"/>
    <w:rsid w:val="00CC4E19"/>
    <w:rsid w:val="00CC5902"/>
    <w:rsid w:val="00CC5961"/>
    <w:rsid w:val="00CC5D5B"/>
    <w:rsid w:val="00CC5F7A"/>
    <w:rsid w:val="00CD0254"/>
    <w:rsid w:val="00CD1AB3"/>
    <w:rsid w:val="00CD2EA1"/>
    <w:rsid w:val="00CD479A"/>
    <w:rsid w:val="00CD5A60"/>
    <w:rsid w:val="00CE0617"/>
    <w:rsid w:val="00CE0BC1"/>
    <w:rsid w:val="00CE1E52"/>
    <w:rsid w:val="00CE2187"/>
    <w:rsid w:val="00CE4383"/>
    <w:rsid w:val="00CE51F1"/>
    <w:rsid w:val="00CE53C4"/>
    <w:rsid w:val="00CE6974"/>
    <w:rsid w:val="00CE6C50"/>
    <w:rsid w:val="00CE71B8"/>
    <w:rsid w:val="00CE776A"/>
    <w:rsid w:val="00CF1D11"/>
    <w:rsid w:val="00CF3498"/>
    <w:rsid w:val="00CF3585"/>
    <w:rsid w:val="00CF3752"/>
    <w:rsid w:val="00CF395D"/>
    <w:rsid w:val="00CF5AD0"/>
    <w:rsid w:val="00CF5CFF"/>
    <w:rsid w:val="00CF5D4D"/>
    <w:rsid w:val="00D00CD5"/>
    <w:rsid w:val="00D01354"/>
    <w:rsid w:val="00D02A44"/>
    <w:rsid w:val="00D03588"/>
    <w:rsid w:val="00D041F5"/>
    <w:rsid w:val="00D051C5"/>
    <w:rsid w:val="00D05566"/>
    <w:rsid w:val="00D05737"/>
    <w:rsid w:val="00D0585C"/>
    <w:rsid w:val="00D06A3C"/>
    <w:rsid w:val="00D070F7"/>
    <w:rsid w:val="00D0763B"/>
    <w:rsid w:val="00D115D5"/>
    <w:rsid w:val="00D11ED8"/>
    <w:rsid w:val="00D14F53"/>
    <w:rsid w:val="00D173AD"/>
    <w:rsid w:val="00D20031"/>
    <w:rsid w:val="00D20374"/>
    <w:rsid w:val="00D20494"/>
    <w:rsid w:val="00D211EC"/>
    <w:rsid w:val="00D2422C"/>
    <w:rsid w:val="00D255CA"/>
    <w:rsid w:val="00D260FD"/>
    <w:rsid w:val="00D267B4"/>
    <w:rsid w:val="00D334D0"/>
    <w:rsid w:val="00D3385A"/>
    <w:rsid w:val="00D3485C"/>
    <w:rsid w:val="00D35837"/>
    <w:rsid w:val="00D37454"/>
    <w:rsid w:val="00D40F96"/>
    <w:rsid w:val="00D41DF7"/>
    <w:rsid w:val="00D44C3E"/>
    <w:rsid w:val="00D4712A"/>
    <w:rsid w:val="00D47434"/>
    <w:rsid w:val="00D50245"/>
    <w:rsid w:val="00D50438"/>
    <w:rsid w:val="00D50AED"/>
    <w:rsid w:val="00D51F48"/>
    <w:rsid w:val="00D51F81"/>
    <w:rsid w:val="00D52403"/>
    <w:rsid w:val="00D52472"/>
    <w:rsid w:val="00D532B5"/>
    <w:rsid w:val="00D54F3E"/>
    <w:rsid w:val="00D556F6"/>
    <w:rsid w:val="00D56531"/>
    <w:rsid w:val="00D56CF0"/>
    <w:rsid w:val="00D600F9"/>
    <w:rsid w:val="00D6045F"/>
    <w:rsid w:val="00D60478"/>
    <w:rsid w:val="00D61463"/>
    <w:rsid w:val="00D614BE"/>
    <w:rsid w:val="00D627DA"/>
    <w:rsid w:val="00D63305"/>
    <w:rsid w:val="00D6419F"/>
    <w:rsid w:val="00D6440D"/>
    <w:rsid w:val="00D64535"/>
    <w:rsid w:val="00D651CF"/>
    <w:rsid w:val="00D65466"/>
    <w:rsid w:val="00D659AE"/>
    <w:rsid w:val="00D65FE3"/>
    <w:rsid w:val="00D66A65"/>
    <w:rsid w:val="00D677DD"/>
    <w:rsid w:val="00D712EB"/>
    <w:rsid w:val="00D72106"/>
    <w:rsid w:val="00D72469"/>
    <w:rsid w:val="00D74CA4"/>
    <w:rsid w:val="00D75540"/>
    <w:rsid w:val="00D802E7"/>
    <w:rsid w:val="00D8067F"/>
    <w:rsid w:val="00D81881"/>
    <w:rsid w:val="00D818B4"/>
    <w:rsid w:val="00D82DEB"/>
    <w:rsid w:val="00D8380C"/>
    <w:rsid w:val="00D845AD"/>
    <w:rsid w:val="00D85511"/>
    <w:rsid w:val="00D8600F"/>
    <w:rsid w:val="00D87202"/>
    <w:rsid w:val="00D875FC"/>
    <w:rsid w:val="00D92639"/>
    <w:rsid w:val="00D92B8D"/>
    <w:rsid w:val="00D95B73"/>
    <w:rsid w:val="00D96050"/>
    <w:rsid w:val="00D9753B"/>
    <w:rsid w:val="00DA0C3A"/>
    <w:rsid w:val="00DA1AFE"/>
    <w:rsid w:val="00DA1F16"/>
    <w:rsid w:val="00DA396B"/>
    <w:rsid w:val="00DA54A5"/>
    <w:rsid w:val="00DA57FA"/>
    <w:rsid w:val="00DB17D6"/>
    <w:rsid w:val="00DB2C88"/>
    <w:rsid w:val="00DB33E5"/>
    <w:rsid w:val="00DB4458"/>
    <w:rsid w:val="00DB494B"/>
    <w:rsid w:val="00DB4C00"/>
    <w:rsid w:val="00DB5ABD"/>
    <w:rsid w:val="00DB5C2A"/>
    <w:rsid w:val="00DB6A2A"/>
    <w:rsid w:val="00DB6A70"/>
    <w:rsid w:val="00DB7797"/>
    <w:rsid w:val="00DB7CB2"/>
    <w:rsid w:val="00DC03D2"/>
    <w:rsid w:val="00DC1746"/>
    <w:rsid w:val="00DC1A10"/>
    <w:rsid w:val="00DC21BC"/>
    <w:rsid w:val="00DC45C6"/>
    <w:rsid w:val="00DC4B44"/>
    <w:rsid w:val="00DC57F7"/>
    <w:rsid w:val="00DC59A2"/>
    <w:rsid w:val="00DC76AB"/>
    <w:rsid w:val="00DD2090"/>
    <w:rsid w:val="00DD485A"/>
    <w:rsid w:val="00DD7145"/>
    <w:rsid w:val="00DE0073"/>
    <w:rsid w:val="00DE08A2"/>
    <w:rsid w:val="00DE283F"/>
    <w:rsid w:val="00DE2B30"/>
    <w:rsid w:val="00DE2E2D"/>
    <w:rsid w:val="00DE4459"/>
    <w:rsid w:val="00DE4E1B"/>
    <w:rsid w:val="00DE5421"/>
    <w:rsid w:val="00DF0064"/>
    <w:rsid w:val="00DF0243"/>
    <w:rsid w:val="00DF0403"/>
    <w:rsid w:val="00DF0706"/>
    <w:rsid w:val="00DF0769"/>
    <w:rsid w:val="00DF0AA9"/>
    <w:rsid w:val="00DF2500"/>
    <w:rsid w:val="00DF26C7"/>
    <w:rsid w:val="00DF305B"/>
    <w:rsid w:val="00DF4130"/>
    <w:rsid w:val="00DF5575"/>
    <w:rsid w:val="00DF5D00"/>
    <w:rsid w:val="00DF7B33"/>
    <w:rsid w:val="00DF7B3B"/>
    <w:rsid w:val="00DF7C98"/>
    <w:rsid w:val="00E0023D"/>
    <w:rsid w:val="00E005C0"/>
    <w:rsid w:val="00E007BB"/>
    <w:rsid w:val="00E008AB"/>
    <w:rsid w:val="00E00CD9"/>
    <w:rsid w:val="00E01932"/>
    <w:rsid w:val="00E02EC6"/>
    <w:rsid w:val="00E03166"/>
    <w:rsid w:val="00E03759"/>
    <w:rsid w:val="00E03C4E"/>
    <w:rsid w:val="00E03D6E"/>
    <w:rsid w:val="00E05DB5"/>
    <w:rsid w:val="00E0652D"/>
    <w:rsid w:val="00E076A4"/>
    <w:rsid w:val="00E07EF5"/>
    <w:rsid w:val="00E11403"/>
    <w:rsid w:val="00E12F7D"/>
    <w:rsid w:val="00E136A3"/>
    <w:rsid w:val="00E15375"/>
    <w:rsid w:val="00E15D2F"/>
    <w:rsid w:val="00E16707"/>
    <w:rsid w:val="00E16815"/>
    <w:rsid w:val="00E168B2"/>
    <w:rsid w:val="00E205A7"/>
    <w:rsid w:val="00E20BE6"/>
    <w:rsid w:val="00E21091"/>
    <w:rsid w:val="00E24552"/>
    <w:rsid w:val="00E252EA"/>
    <w:rsid w:val="00E25C1F"/>
    <w:rsid w:val="00E265F1"/>
    <w:rsid w:val="00E27892"/>
    <w:rsid w:val="00E30A3F"/>
    <w:rsid w:val="00E32D73"/>
    <w:rsid w:val="00E33544"/>
    <w:rsid w:val="00E33E4B"/>
    <w:rsid w:val="00E3458F"/>
    <w:rsid w:val="00E348CC"/>
    <w:rsid w:val="00E35745"/>
    <w:rsid w:val="00E35B55"/>
    <w:rsid w:val="00E3635A"/>
    <w:rsid w:val="00E36564"/>
    <w:rsid w:val="00E37EF9"/>
    <w:rsid w:val="00E37F4A"/>
    <w:rsid w:val="00E407F6"/>
    <w:rsid w:val="00E427BC"/>
    <w:rsid w:val="00E42A87"/>
    <w:rsid w:val="00E439D1"/>
    <w:rsid w:val="00E44122"/>
    <w:rsid w:val="00E44DE2"/>
    <w:rsid w:val="00E458F9"/>
    <w:rsid w:val="00E47789"/>
    <w:rsid w:val="00E507C9"/>
    <w:rsid w:val="00E50AA4"/>
    <w:rsid w:val="00E51FC1"/>
    <w:rsid w:val="00E527E0"/>
    <w:rsid w:val="00E52D6D"/>
    <w:rsid w:val="00E533F1"/>
    <w:rsid w:val="00E5390D"/>
    <w:rsid w:val="00E53AF4"/>
    <w:rsid w:val="00E54BBA"/>
    <w:rsid w:val="00E56130"/>
    <w:rsid w:val="00E56CFA"/>
    <w:rsid w:val="00E57855"/>
    <w:rsid w:val="00E62A0F"/>
    <w:rsid w:val="00E6321B"/>
    <w:rsid w:val="00E63630"/>
    <w:rsid w:val="00E63812"/>
    <w:rsid w:val="00E638C9"/>
    <w:rsid w:val="00E639DD"/>
    <w:rsid w:val="00E63E84"/>
    <w:rsid w:val="00E650AC"/>
    <w:rsid w:val="00E65593"/>
    <w:rsid w:val="00E65964"/>
    <w:rsid w:val="00E66775"/>
    <w:rsid w:val="00E70DA1"/>
    <w:rsid w:val="00E71190"/>
    <w:rsid w:val="00E7232E"/>
    <w:rsid w:val="00E73CD7"/>
    <w:rsid w:val="00E73FEB"/>
    <w:rsid w:val="00E74B6A"/>
    <w:rsid w:val="00E75EB8"/>
    <w:rsid w:val="00E773E8"/>
    <w:rsid w:val="00E83AE8"/>
    <w:rsid w:val="00E841AA"/>
    <w:rsid w:val="00E84DD4"/>
    <w:rsid w:val="00E86C15"/>
    <w:rsid w:val="00E87153"/>
    <w:rsid w:val="00E8752A"/>
    <w:rsid w:val="00E90038"/>
    <w:rsid w:val="00E93558"/>
    <w:rsid w:val="00E942CC"/>
    <w:rsid w:val="00E943F2"/>
    <w:rsid w:val="00E9450D"/>
    <w:rsid w:val="00EA00B1"/>
    <w:rsid w:val="00EA1909"/>
    <w:rsid w:val="00EA1A10"/>
    <w:rsid w:val="00EA4458"/>
    <w:rsid w:val="00EA46DD"/>
    <w:rsid w:val="00EA4C0D"/>
    <w:rsid w:val="00EA6050"/>
    <w:rsid w:val="00EA7FCD"/>
    <w:rsid w:val="00EB1A5B"/>
    <w:rsid w:val="00EB22BF"/>
    <w:rsid w:val="00EB60E9"/>
    <w:rsid w:val="00EB6227"/>
    <w:rsid w:val="00EB6C15"/>
    <w:rsid w:val="00EB70BB"/>
    <w:rsid w:val="00EB78AD"/>
    <w:rsid w:val="00EC0FE1"/>
    <w:rsid w:val="00EC0FE9"/>
    <w:rsid w:val="00EC1BEE"/>
    <w:rsid w:val="00EC23F9"/>
    <w:rsid w:val="00EC49F3"/>
    <w:rsid w:val="00EC4B64"/>
    <w:rsid w:val="00EC51C0"/>
    <w:rsid w:val="00EC548E"/>
    <w:rsid w:val="00EC5940"/>
    <w:rsid w:val="00EC5C0B"/>
    <w:rsid w:val="00EC688C"/>
    <w:rsid w:val="00EC6943"/>
    <w:rsid w:val="00EC6A75"/>
    <w:rsid w:val="00EC7C65"/>
    <w:rsid w:val="00ED06E1"/>
    <w:rsid w:val="00ED08DC"/>
    <w:rsid w:val="00ED1B66"/>
    <w:rsid w:val="00ED1E2A"/>
    <w:rsid w:val="00ED1EEE"/>
    <w:rsid w:val="00ED3E32"/>
    <w:rsid w:val="00ED4095"/>
    <w:rsid w:val="00ED5092"/>
    <w:rsid w:val="00ED5C48"/>
    <w:rsid w:val="00ED6505"/>
    <w:rsid w:val="00ED66B0"/>
    <w:rsid w:val="00ED7FEC"/>
    <w:rsid w:val="00EE1085"/>
    <w:rsid w:val="00EE1CE3"/>
    <w:rsid w:val="00EE2789"/>
    <w:rsid w:val="00EE2B24"/>
    <w:rsid w:val="00EE2EC8"/>
    <w:rsid w:val="00EE62F7"/>
    <w:rsid w:val="00EE657E"/>
    <w:rsid w:val="00EE67A1"/>
    <w:rsid w:val="00EF14C7"/>
    <w:rsid w:val="00EF1D3B"/>
    <w:rsid w:val="00EF3B26"/>
    <w:rsid w:val="00EF3E9B"/>
    <w:rsid w:val="00EF70D6"/>
    <w:rsid w:val="00EF7B86"/>
    <w:rsid w:val="00F0135D"/>
    <w:rsid w:val="00F0139B"/>
    <w:rsid w:val="00F01F33"/>
    <w:rsid w:val="00F022A9"/>
    <w:rsid w:val="00F0243E"/>
    <w:rsid w:val="00F0378F"/>
    <w:rsid w:val="00F03BEE"/>
    <w:rsid w:val="00F043B4"/>
    <w:rsid w:val="00F04D5A"/>
    <w:rsid w:val="00F04F8C"/>
    <w:rsid w:val="00F05273"/>
    <w:rsid w:val="00F06D73"/>
    <w:rsid w:val="00F07418"/>
    <w:rsid w:val="00F07684"/>
    <w:rsid w:val="00F1023A"/>
    <w:rsid w:val="00F15634"/>
    <w:rsid w:val="00F16D1B"/>
    <w:rsid w:val="00F16E17"/>
    <w:rsid w:val="00F1766D"/>
    <w:rsid w:val="00F17BF1"/>
    <w:rsid w:val="00F205B3"/>
    <w:rsid w:val="00F21724"/>
    <w:rsid w:val="00F232BD"/>
    <w:rsid w:val="00F23743"/>
    <w:rsid w:val="00F24F8B"/>
    <w:rsid w:val="00F32279"/>
    <w:rsid w:val="00F338AA"/>
    <w:rsid w:val="00F33E69"/>
    <w:rsid w:val="00F34EDD"/>
    <w:rsid w:val="00F35C40"/>
    <w:rsid w:val="00F366EE"/>
    <w:rsid w:val="00F36829"/>
    <w:rsid w:val="00F36AF4"/>
    <w:rsid w:val="00F40064"/>
    <w:rsid w:val="00F41B6D"/>
    <w:rsid w:val="00F449B2"/>
    <w:rsid w:val="00F4550F"/>
    <w:rsid w:val="00F45556"/>
    <w:rsid w:val="00F4596D"/>
    <w:rsid w:val="00F45D5F"/>
    <w:rsid w:val="00F462DF"/>
    <w:rsid w:val="00F533B0"/>
    <w:rsid w:val="00F552A0"/>
    <w:rsid w:val="00F56E72"/>
    <w:rsid w:val="00F5707A"/>
    <w:rsid w:val="00F60002"/>
    <w:rsid w:val="00F6044D"/>
    <w:rsid w:val="00F608DD"/>
    <w:rsid w:val="00F60F2B"/>
    <w:rsid w:val="00F61252"/>
    <w:rsid w:val="00F6182F"/>
    <w:rsid w:val="00F62842"/>
    <w:rsid w:val="00F65CC5"/>
    <w:rsid w:val="00F66C0B"/>
    <w:rsid w:val="00F67902"/>
    <w:rsid w:val="00F679EE"/>
    <w:rsid w:val="00F72DA3"/>
    <w:rsid w:val="00F7418A"/>
    <w:rsid w:val="00F7573D"/>
    <w:rsid w:val="00F77236"/>
    <w:rsid w:val="00F777D0"/>
    <w:rsid w:val="00F80FAE"/>
    <w:rsid w:val="00F816D8"/>
    <w:rsid w:val="00F8262C"/>
    <w:rsid w:val="00F86842"/>
    <w:rsid w:val="00F86D61"/>
    <w:rsid w:val="00F872F5"/>
    <w:rsid w:val="00F900F6"/>
    <w:rsid w:val="00F907CF"/>
    <w:rsid w:val="00F9199B"/>
    <w:rsid w:val="00F9494B"/>
    <w:rsid w:val="00F9510E"/>
    <w:rsid w:val="00F96BE0"/>
    <w:rsid w:val="00F97031"/>
    <w:rsid w:val="00F97EDA"/>
    <w:rsid w:val="00FA1D73"/>
    <w:rsid w:val="00FA2179"/>
    <w:rsid w:val="00FA227F"/>
    <w:rsid w:val="00FA2975"/>
    <w:rsid w:val="00FA2AC8"/>
    <w:rsid w:val="00FA2F0B"/>
    <w:rsid w:val="00FA4B30"/>
    <w:rsid w:val="00FA65CD"/>
    <w:rsid w:val="00FB08C1"/>
    <w:rsid w:val="00FB0A34"/>
    <w:rsid w:val="00FB1762"/>
    <w:rsid w:val="00FB1F36"/>
    <w:rsid w:val="00FB2B58"/>
    <w:rsid w:val="00FB32F2"/>
    <w:rsid w:val="00FB4703"/>
    <w:rsid w:val="00FB4A81"/>
    <w:rsid w:val="00FB4EA3"/>
    <w:rsid w:val="00FB5BE8"/>
    <w:rsid w:val="00FB61D3"/>
    <w:rsid w:val="00FB70D5"/>
    <w:rsid w:val="00FB7111"/>
    <w:rsid w:val="00FC166E"/>
    <w:rsid w:val="00FC2622"/>
    <w:rsid w:val="00FC34C0"/>
    <w:rsid w:val="00FC418B"/>
    <w:rsid w:val="00FC4577"/>
    <w:rsid w:val="00FC572B"/>
    <w:rsid w:val="00FC6962"/>
    <w:rsid w:val="00FC7D9E"/>
    <w:rsid w:val="00FD113F"/>
    <w:rsid w:val="00FD1EF9"/>
    <w:rsid w:val="00FD49D2"/>
    <w:rsid w:val="00FD6117"/>
    <w:rsid w:val="00FD6A58"/>
    <w:rsid w:val="00FD7088"/>
    <w:rsid w:val="00FD719B"/>
    <w:rsid w:val="00FD7644"/>
    <w:rsid w:val="00FE0286"/>
    <w:rsid w:val="00FE0D18"/>
    <w:rsid w:val="00FE0D71"/>
    <w:rsid w:val="00FE1899"/>
    <w:rsid w:val="00FE23FE"/>
    <w:rsid w:val="00FE32D8"/>
    <w:rsid w:val="00FE38E8"/>
    <w:rsid w:val="00FE3B0C"/>
    <w:rsid w:val="00FE3B38"/>
    <w:rsid w:val="00FE3F7E"/>
    <w:rsid w:val="00FE4AD5"/>
    <w:rsid w:val="00FE530B"/>
    <w:rsid w:val="00FE54E0"/>
    <w:rsid w:val="00FE5DE6"/>
    <w:rsid w:val="00FE6E94"/>
    <w:rsid w:val="00FE72C4"/>
    <w:rsid w:val="00FE74C6"/>
    <w:rsid w:val="00FE7CE5"/>
    <w:rsid w:val="00FF0DBE"/>
    <w:rsid w:val="00FF1BD8"/>
    <w:rsid w:val="00FF25C4"/>
    <w:rsid w:val="00FF3DAF"/>
    <w:rsid w:val="00FF3DE5"/>
    <w:rsid w:val="00FF443F"/>
    <w:rsid w:val="00FF5AA4"/>
    <w:rsid w:val="00FF7669"/>
    <w:rsid w:val="00FF7EFF"/>
    <w:rsid w:val="01042CA7"/>
    <w:rsid w:val="010D427B"/>
    <w:rsid w:val="01136DB5"/>
    <w:rsid w:val="0118422B"/>
    <w:rsid w:val="011D017A"/>
    <w:rsid w:val="012A44D4"/>
    <w:rsid w:val="012C2953"/>
    <w:rsid w:val="013F08BA"/>
    <w:rsid w:val="014557C2"/>
    <w:rsid w:val="0157321E"/>
    <w:rsid w:val="015D2789"/>
    <w:rsid w:val="016F283F"/>
    <w:rsid w:val="01710365"/>
    <w:rsid w:val="01772A9E"/>
    <w:rsid w:val="017E5A02"/>
    <w:rsid w:val="017F092E"/>
    <w:rsid w:val="019127B6"/>
    <w:rsid w:val="01937269"/>
    <w:rsid w:val="01A85FE8"/>
    <w:rsid w:val="01AE3368"/>
    <w:rsid w:val="01B41DF8"/>
    <w:rsid w:val="01BA31C1"/>
    <w:rsid w:val="01C0058B"/>
    <w:rsid w:val="01C25065"/>
    <w:rsid w:val="01CD7566"/>
    <w:rsid w:val="01D55085"/>
    <w:rsid w:val="01D658A3"/>
    <w:rsid w:val="01DA7E91"/>
    <w:rsid w:val="01DD498F"/>
    <w:rsid w:val="01E9236C"/>
    <w:rsid w:val="01ED4312"/>
    <w:rsid w:val="01F82835"/>
    <w:rsid w:val="01FF705E"/>
    <w:rsid w:val="0213055E"/>
    <w:rsid w:val="021533E7"/>
    <w:rsid w:val="02215CC8"/>
    <w:rsid w:val="02271C1B"/>
    <w:rsid w:val="022741A1"/>
    <w:rsid w:val="02294CFE"/>
    <w:rsid w:val="02383131"/>
    <w:rsid w:val="025031E6"/>
    <w:rsid w:val="02553862"/>
    <w:rsid w:val="02567270"/>
    <w:rsid w:val="025857DA"/>
    <w:rsid w:val="026A30D0"/>
    <w:rsid w:val="026D058B"/>
    <w:rsid w:val="026E1E0E"/>
    <w:rsid w:val="02713C9A"/>
    <w:rsid w:val="02793573"/>
    <w:rsid w:val="027A77D7"/>
    <w:rsid w:val="02916B03"/>
    <w:rsid w:val="029B393C"/>
    <w:rsid w:val="029D33DC"/>
    <w:rsid w:val="02A12ECC"/>
    <w:rsid w:val="02AA0AD5"/>
    <w:rsid w:val="02B04CE7"/>
    <w:rsid w:val="02C556DE"/>
    <w:rsid w:val="02D01386"/>
    <w:rsid w:val="02E01C47"/>
    <w:rsid w:val="02E028BF"/>
    <w:rsid w:val="02EB7596"/>
    <w:rsid w:val="02F2197A"/>
    <w:rsid w:val="02FA756A"/>
    <w:rsid w:val="0302498A"/>
    <w:rsid w:val="030F6088"/>
    <w:rsid w:val="031511C4"/>
    <w:rsid w:val="03190CB5"/>
    <w:rsid w:val="031B2C7F"/>
    <w:rsid w:val="03231B33"/>
    <w:rsid w:val="033B1EC9"/>
    <w:rsid w:val="033F0645"/>
    <w:rsid w:val="033F70B5"/>
    <w:rsid w:val="034026E5"/>
    <w:rsid w:val="03495DB3"/>
    <w:rsid w:val="0359372A"/>
    <w:rsid w:val="035A2E3C"/>
    <w:rsid w:val="035D7CE7"/>
    <w:rsid w:val="035F7523"/>
    <w:rsid w:val="03600692"/>
    <w:rsid w:val="03613C53"/>
    <w:rsid w:val="036C58F1"/>
    <w:rsid w:val="03731012"/>
    <w:rsid w:val="037973CF"/>
    <w:rsid w:val="03830824"/>
    <w:rsid w:val="038A4FA3"/>
    <w:rsid w:val="0396351F"/>
    <w:rsid w:val="03987CF4"/>
    <w:rsid w:val="03A164C0"/>
    <w:rsid w:val="03A16863"/>
    <w:rsid w:val="03AC1B29"/>
    <w:rsid w:val="03B1713F"/>
    <w:rsid w:val="03B20866"/>
    <w:rsid w:val="03B704C2"/>
    <w:rsid w:val="03C407DA"/>
    <w:rsid w:val="03C7337A"/>
    <w:rsid w:val="03C85032"/>
    <w:rsid w:val="03D342C3"/>
    <w:rsid w:val="03D44BC0"/>
    <w:rsid w:val="03E61157"/>
    <w:rsid w:val="03FC5D64"/>
    <w:rsid w:val="03FF5B70"/>
    <w:rsid w:val="04001E75"/>
    <w:rsid w:val="04067632"/>
    <w:rsid w:val="040800B2"/>
    <w:rsid w:val="040D00EE"/>
    <w:rsid w:val="041F679F"/>
    <w:rsid w:val="042042C5"/>
    <w:rsid w:val="04223B99"/>
    <w:rsid w:val="04275495"/>
    <w:rsid w:val="042E37EE"/>
    <w:rsid w:val="043206E5"/>
    <w:rsid w:val="04400272"/>
    <w:rsid w:val="04447FB3"/>
    <w:rsid w:val="045126D0"/>
    <w:rsid w:val="04582332"/>
    <w:rsid w:val="04592FE1"/>
    <w:rsid w:val="04602913"/>
    <w:rsid w:val="046B18AF"/>
    <w:rsid w:val="046C7442"/>
    <w:rsid w:val="047343F5"/>
    <w:rsid w:val="047D34C5"/>
    <w:rsid w:val="048D41B4"/>
    <w:rsid w:val="048F4B55"/>
    <w:rsid w:val="04934B59"/>
    <w:rsid w:val="04A252B4"/>
    <w:rsid w:val="04A473F6"/>
    <w:rsid w:val="04AB1DE0"/>
    <w:rsid w:val="04C02AB8"/>
    <w:rsid w:val="04D04B06"/>
    <w:rsid w:val="04D122E5"/>
    <w:rsid w:val="04D1736D"/>
    <w:rsid w:val="04E6106A"/>
    <w:rsid w:val="04E86B91"/>
    <w:rsid w:val="04EB48D3"/>
    <w:rsid w:val="04EE705C"/>
    <w:rsid w:val="04FC263C"/>
    <w:rsid w:val="04FD35E1"/>
    <w:rsid w:val="04FF7AF4"/>
    <w:rsid w:val="0506170D"/>
    <w:rsid w:val="05156CDB"/>
    <w:rsid w:val="051B60CD"/>
    <w:rsid w:val="052027CE"/>
    <w:rsid w:val="052A216E"/>
    <w:rsid w:val="053634AD"/>
    <w:rsid w:val="053F1F04"/>
    <w:rsid w:val="05467D5B"/>
    <w:rsid w:val="054B0E52"/>
    <w:rsid w:val="05524952"/>
    <w:rsid w:val="05526700"/>
    <w:rsid w:val="05550D59"/>
    <w:rsid w:val="05563D80"/>
    <w:rsid w:val="055661F0"/>
    <w:rsid w:val="056517D7"/>
    <w:rsid w:val="05666563"/>
    <w:rsid w:val="056B1570"/>
    <w:rsid w:val="05765EB1"/>
    <w:rsid w:val="05797E16"/>
    <w:rsid w:val="05856853"/>
    <w:rsid w:val="05924D4E"/>
    <w:rsid w:val="05995CDA"/>
    <w:rsid w:val="05A33031"/>
    <w:rsid w:val="05B2719F"/>
    <w:rsid w:val="05BE2B54"/>
    <w:rsid w:val="05C04E4B"/>
    <w:rsid w:val="05C80770"/>
    <w:rsid w:val="05C95A8D"/>
    <w:rsid w:val="05CD47B7"/>
    <w:rsid w:val="05E071CA"/>
    <w:rsid w:val="05E14381"/>
    <w:rsid w:val="05EA6938"/>
    <w:rsid w:val="05EC0669"/>
    <w:rsid w:val="05EC07C0"/>
    <w:rsid w:val="05EC6DD5"/>
    <w:rsid w:val="05EF06BF"/>
    <w:rsid w:val="05F51031"/>
    <w:rsid w:val="05F6352F"/>
    <w:rsid w:val="05FD48BE"/>
    <w:rsid w:val="060A2B37"/>
    <w:rsid w:val="06104981"/>
    <w:rsid w:val="06127C3D"/>
    <w:rsid w:val="061816F7"/>
    <w:rsid w:val="061A5470"/>
    <w:rsid w:val="06245265"/>
    <w:rsid w:val="063201D2"/>
    <w:rsid w:val="063256A2"/>
    <w:rsid w:val="063302DF"/>
    <w:rsid w:val="063A78C0"/>
    <w:rsid w:val="063F1F55"/>
    <w:rsid w:val="065344DE"/>
    <w:rsid w:val="065C05EF"/>
    <w:rsid w:val="06622973"/>
    <w:rsid w:val="06675445"/>
    <w:rsid w:val="067174EE"/>
    <w:rsid w:val="067259F5"/>
    <w:rsid w:val="06760E3F"/>
    <w:rsid w:val="067E51AF"/>
    <w:rsid w:val="067F52D3"/>
    <w:rsid w:val="06867AE1"/>
    <w:rsid w:val="068943A3"/>
    <w:rsid w:val="068E2D1C"/>
    <w:rsid w:val="069150D4"/>
    <w:rsid w:val="06964D1E"/>
    <w:rsid w:val="06AB5DC9"/>
    <w:rsid w:val="06AE2553"/>
    <w:rsid w:val="06AF1E70"/>
    <w:rsid w:val="06B86A37"/>
    <w:rsid w:val="06CA028C"/>
    <w:rsid w:val="06CA4C0B"/>
    <w:rsid w:val="06D60267"/>
    <w:rsid w:val="06E206C5"/>
    <w:rsid w:val="06F832D7"/>
    <w:rsid w:val="06FB2DD4"/>
    <w:rsid w:val="06FC0882"/>
    <w:rsid w:val="07005C95"/>
    <w:rsid w:val="0701218C"/>
    <w:rsid w:val="07035F04"/>
    <w:rsid w:val="070419DC"/>
    <w:rsid w:val="0708176C"/>
    <w:rsid w:val="07084943"/>
    <w:rsid w:val="070C5D41"/>
    <w:rsid w:val="07185777"/>
    <w:rsid w:val="071A4FFB"/>
    <w:rsid w:val="071F5D92"/>
    <w:rsid w:val="07287E8D"/>
    <w:rsid w:val="07293275"/>
    <w:rsid w:val="072969F5"/>
    <w:rsid w:val="073E68E9"/>
    <w:rsid w:val="074A4384"/>
    <w:rsid w:val="074B3407"/>
    <w:rsid w:val="074C7422"/>
    <w:rsid w:val="074C7BE7"/>
    <w:rsid w:val="07506C6F"/>
    <w:rsid w:val="07576AE2"/>
    <w:rsid w:val="07591FC8"/>
    <w:rsid w:val="07630415"/>
    <w:rsid w:val="07677AD1"/>
    <w:rsid w:val="076A5F83"/>
    <w:rsid w:val="076E04DA"/>
    <w:rsid w:val="07726BE5"/>
    <w:rsid w:val="0774295E"/>
    <w:rsid w:val="077C259F"/>
    <w:rsid w:val="0788465B"/>
    <w:rsid w:val="07944A78"/>
    <w:rsid w:val="079C3B16"/>
    <w:rsid w:val="079E55D0"/>
    <w:rsid w:val="07A92D32"/>
    <w:rsid w:val="07B669A9"/>
    <w:rsid w:val="07BC60B3"/>
    <w:rsid w:val="07CA7CF5"/>
    <w:rsid w:val="07D478A0"/>
    <w:rsid w:val="07D837C6"/>
    <w:rsid w:val="07E13EC2"/>
    <w:rsid w:val="07F36664"/>
    <w:rsid w:val="07F42CF5"/>
    <w:rsid w:val="07FE15B0"/>
    <w:rsid w:val="08017F69"/>
    <w:rsid w:val="080679AA"/>
    <w:rsid w:val="08082C91"/>
    <w:rsid w:val="08097825"/>
    <w:rsid w:val="08101677"/>
    <w:rsid w:val="08125F8A"/>
    <w:rsid w:val="081465CD"/>
    <w:rsid w:val="08167EB9"/>
    <w:rsid w:val="081A0393"/>
    <w:rsid w:val="081D1247"/>
    <w:rsid w:val="082D6FB0"/>
    <w:rsid w:val="08332073"/>
    <w:rsid w:val="083974C5"/>
    <w:rsid w:val="083A3A7D"/>
    <w:rsid w:val="083E2F6B"/>
    <w:rsid w:val="083E3C46"/>
    <w:rsid w:val="08401FE6"/>
    <w:rsid w:val="0858227F"/>
    <w:rsid w:val="08586AAC"/>
    <w:rsid w:val="085E720F"/>
    <w:rsid w:val="08601134"/>
    <w:rsid w:val="086329D2"/>
    <w:rsid w:val="08637291"/>
    <w:rsid w:val="0868185C"/>
    <w:rsid w:val="08701591"/>
    <w:rsid w:val="087C4470"/>
    <w:rsid w:val="088733AC"/>
    <w:rsid w:val="088A4403"/>
    <w:rsid w:val="088E13FF"/>
    <w:rsid w:val="089D7C92"/>
    <w:rsid w:val="089E0E96"/>
    <w:rsid w:val="089F7EAE"/>
    <w:rsid w:val="08A13C26"/>
    <w:rsid w:val="08A25C90"/>
    <w:rsid w:val="08A96637"/>
    <w:rsid w:val="08B5506F"/>
    <w:rsid w:val="08B731D9"/>
    <w:rsid w:val="08C90A87"/>
    <w:rsid w:val="08E12275"/>
    <w:rsid w:val="08E83CBC"/>
    <w:rsid w:val="08EB4AF7"/>
    <w:rsid w:val="08F1563F"/>
    <w:rsid w:val="08F46583"/>
    <w:rsid w:val="08F62545"/>
    <w:rsid w:val="08F875BE"/>
    <w:rsid w:val="090B136E"/>
    <w:rsid w:val="091618D3"/>
    <w:rsid w:val="091A4C8C"/>
    <w:rsid w:val="092C7268"/>
    <w:rsid w:val="092E1A43"/>
    <w:rsid w:val="09363300"/>
    <w:rsid w:val="093A3733"/>
    <w:rsid w:val="093A6E83"/>
    <w:rsid w:val="093B2BE4"/>
    <w:rsid w:val="0946032A"/>
    <w:rsid w:val="09465686"/>
    <w:rsid w:val="094B5D5D"/>
    <w:rsid w:val="095771A0"/>
    <w:rsid w:val="095A7346"/>
    <w:rsid w:val="09676291"/>
    <w:rsid w:val="097444BF"/>
    <w:rsid w:val="09747C12"/>
    <w:rsid w:val="09756413"/>
    <w:rsid w:val="097E3F67"/>
    <w:rsid w:val="09864BCA"/>
    <w:rsid w:val="09880942"/>
    <w:rsid w:val="098B3F8E"/>
    <w:rsid w:val="098E3A7F"/>
    <w:rsid w:val="09991D59"/>
    <w:rsid w:val="099D32E7"/>
    <w:rsid w:val="099F40C8"/>
    <w:rsid w:val="09A0309B"/>
    <w:rsid w:val="09A775EB"/>
    <w:rsid w:val="09A80FE4"/>
    <w:rsid w:val="09C15C02"/>
    <w:rsid w:val="09C247EA"/>
    <w:rsid w:val="09C332D8"/>
    <w:rsid w:val="09C5063C"/>
    <w:rsid w:val="09D67C0C"/>
    <w:rsid w:val="09DA4F52"/>
    <w:rsid w:val="09DE2879"/>
    <w:rsid w:val="09EA2A75"/>
    <w:rsid w:val="09EA7634"/>
    <w:rsid w:val="09EB2018"/>
    <w:rsid w:val="09EF451D"/>
    <w:rsid w:val="09F204B1"/>
    <w:rsid w:val="09F23B8C"/>
    <w:rsid w:val="09F45FD8"/>
    <w:rsid w:val="09F75AC8"/>
    <w:rsid w:val="0A055A51"/>
    <w:rsid w:val="0A0861E8"/>
    <w:rsid w:val="0A1348C9"/>
    <w:rsid w:val="0A1A4B32"/>
    <w:rsid w:val="0A1F76CF"/>
    <w:rsid w:val="0A20501F"/>
    <w:rsid w:val="0A240DA6"/>
    <w:rsid w:val="0A2A19F9"/>
    <w:rsid w:val="0A2D5046"/>
    <w:rsid w:val="0A310FDA"/>
    <w:rsid w:val="0A380FC6"/>
    <w:rsid w:val="0A3E36F7"/>
    <w:rsid w:val="0A3E4466"/>
    <w:rsid w:val="0A3F55CC"/>
    <w:rsid w:val="0A443016"/>
    <w:rsid w:val="0A502A1D"/>
    <w:rsid w:val="0A552874"/>
    <w:rsid w:val="0A5B17CF"/>
    <w:rsid w:val="0A752E7F"/>
    <w:rsid w:val="0A844BED"/>
    <w:rsid w:val="0A8A0357"/>
    <w:rsid w:val="0A8C4462"/>
    <w:rsid w:val="0A937D19"/>
    <w:rsid w:val="0A951569"/>
    <w:rsid w:val="0A9A26C8"/>
    <w:rsid w:val="0AAA0B3D"/>
    <w:rsid w:val="0AAA28B5"/>
    <w:rsid w:val="0AAC68B2"/>
    <w:rsid w:val="0AAF24CD"/>
    <w:rsid w:val="0AB37C41"/>
    <w:rsid w:val="0AB53202"/>
    <w:rsid w:val="0AB80DB3"/>
    <w:rsid w:val="0ABA1D18"/>
    <w:rsid w:val="0ABA3543"/>
    <w:rsid w:val="0AC37D57"/>
    <w:rsid w:val="0ADD6A2A"/>
    <w:rsid w:val="0ADF0A36"/>
    <w:rsid w:val="0ADF705F"/>
    <w:rsid w:val="0AE0030A"/>
    <w:rsid w:val="0AE0454C"/>
    <w:rsid w:val="0AEC7E43"/>
    <w:rsid w:val="0AFD2C6A"/>
    <w:rsid w:val="0B00275A"/>
    <w:rsid w:val="0B0D0BCA"/>
    <w:rsid w:val="0B1A381C"/>
    <w:rsid w:val="0B1B1342"/>
    <w:rsid w:val="0B1F7828"/>
    <w:rsid w:val="0B210D3D"/>
    <w:rsid w:val="0B271E28"/>
    <w:rsid w:val="0B381B27"/>
    <w:rsid w:val="0B487B5A"/>
    <w:rsid w:val="0B4E5E19"/>
    <w:rsid w:val="0B5A379F"/>
    <w:rsid w:val="0B5B5041"/>
    <w:rsid w:val="0B5D195B"/>
    <w:rsid w:val="0B8415DD"/>
    <w:rsid w:val="0B8C0833"/>
    <w:rsid w:val="0B8D1D0F"/>
    <w:rsid w:val="0B970E43"/>
    <w:rsid w:val="0BA11FA4"/>
    <w:rsid w:val="0BA2216C"/>
    <w:rsid w:val="0BB3612B"/>
    <w:rsid w:val="0BC36FD1"/>
    <w:rsid w:val="0BC722A5"/>
    <w:rsid w:val="0BC814CA"/>
    <w:rsid w:val="0BC95428"/>
    <w:rsid w:val="0BD467FE"/>
    <w:rsid w:val="0BE1258C"/>
    <w:rsid w:val="0BF0712E"/>
    <w:rsid w:val="0BF31619"/>
    <w:rsid w:val="0BF41048"/>
    <w:rsid w:val="0C000C64"/>
    <w:rsid w:val="0C032816"/>
    <w:rsid w:val="0C052330"/>
    <w:rsid w:val="0C063DA0"/>
    <w:rsid w:val="0C093260"/>
    <w:rsid w:val="0C0C4C1F"/>
    <w:rsid w:val="0C3E1605"/>
    <w:rsid w:val="0C3E178C"/>
    <w:rsid w:val="0C4B488B"/>
    <w:rsid w:val="0C61547A"/>
    <w:rsid w:val="0C7274C3"/>
    <w:rsid w:val="0C767185"/>
    <w:rsid w:val="0C87231D"/>
    <w:rsid w:val="0C8B409B"/>
    <w:rsid w:val="0C957D50"/>
    <w:rsid w:val="0C9F66CF"/>
    <w:rsid w:val="0CA271F6"/>
    <w:rsid w:val="0CB06E99"/>
    <w:rsid w:val="0CB35867"/>
    <w:rsid w:val="0CB437FC"/>
    <w:rsid w:val="0CB87790"/>
    <w:rsid w:val="0CBA701A"/>
    <w:rsid w:val="0CC021A1"/>
    <w:rsid w:val="0CC14B3A"/>
    <w:rsid w:val="0CC91D1A"/>
    <w:rsid w:val="0CCC7512"/>
    <w:rsid w:val="0CD36378"/>
    <w:rsid w:val="0CD93263"/>
    <w:rsid w:val="0CD979A0"/>
    <w:rsid w:val="0CFA1BB6"/>
    <w:rsid w:val="0CFD00F8"/>
    <w:rsid w:val="0D094952"/>
    <w:rsid w:val="0D1A1ED5"/>
    <w:rsid w:val="0D2113BD"/>
    <w:rsid w:val="0D244E26"/>
    <w:rsid w:val="0D2564A8"/>
    <w:rsid w:val="0D284AA8"/>
    <w:rsid w:val="0D2B7F62"/>
    <w:rsid w:val="0D2C35A1"/>
    <w:rsid w:val="0D2C5F33"/>
    <w:rsid w:val="0D343B6E"/>
    <w:rsid w:val="0D371926"/>
    <w:rsid w:val="0D455D61"/>
    <w:rsid w:val="0D471E0C"/>
    <w:rsid w:val="0D487C9F"/>
    <w:rsid w:val="0D49488C"/>
    <w:rsid w:val="0D4A5F0F"/>
    <w:rsid w:val="0D5D3BBF"/>
    <w:rsid w:val="0D5F3B1D"/>
    <w:rsid w:val="0D692CBB"/>
    <w:rsid w:val="0D6F607A"/>
    <w:rsid w:val="0D7A67F4"/>
    <w:rsid w:val="0D7F06A7"/>
    <w:rsid w:val="0D9773A6"/>
    <w:rsid w:val="0D9E4C2B"/>
    <w:rsid w:val="0DB13D45"/>
    <w:rsid w:val="0DC0069F"/>
    <w:rsid w:val="0DC36296"/>
    <w:rsid w:val="0DCF5E5A"/>
    <w:rsid w:val="0DD82FAB"/>
    <w:rsid w:val="0DE10621"/>
    <w:rsid w:val="0DE6032D"/>
    <w:rsid w:val="0DE80616"/>
    <w:rsid w:val="0DEF66BF"/>
    <w:rsid w:val="0DF8483B"/>
    <w:rsid w:val="0DFC262C"/>
    <w:rsid w:val="0E044D72"/>
    <w:rsid w:val="0E056BBA"/>
    <w:rsid w:val="0E0A401F"/>
    <w:rsid w:val="0E183D0F"/>
    <w:rsid w:val="0E275F95"/>
    <w:rsid w:val="0E2850BF"/>
    <w:rsid w:val="0E2E6D04"/>
    <w:rsid w:val="0E3036A1"/>
    <w:rsid w:val="0E373208"/>
    <w:rsid w:val="0E386A04"/>
    <w:rsid w:val="0E3B2427"/>
    <w:rsid w:val="0E43308A"/>
    <w:rsid w:val="0E454EC9"/>
    <w:rsid w:val="0E583E05"/>
    <w:rsid w:val="0E5A7E2E"/>
    <w:rsid w:val="0E5E1C72"/>
    <w:rsid w:val="0E6073BA"/>
    <w:rsid w:val="0E7C7AF2"/>
    <w:rsid w:val="0E874A82"/>
    <w:rsid w:val="0E8D69FB"/>
    <w:rsid w:val="0E910299"/>
    <w:rsid w:val="0E981627"/>
    <w:rsid w:val="0E9C0B04"/>
    <w:rsid w:val="0EAE49E5"/>
    <w:rsid w:val="0EAF6971"/>
    <w:rsid w:val="0EB34878"/>
    <w:rsid w:val="0EB5671E"/>
    <w:rsid w:val="0EBA17AC"/>
    <w:rsid w:val="0EC906B2"/>
    <w:rsid w:val="0ECA37AB"/>
    <w:rsid w:val="0ECB33E1"/>
    <w:rsid w:val="0ED65CAC"/>
    <w:rsid w:val="0EE4486D"/>
    <w:rsid w:val="0EE61657"/>
    <w:rsid w:val="0EEB4544"/>
    <w:rsid w:val="0EEE63D8"/>
    <w:rsid w:val="0EFC16BF"/>
    <w:rsid w:val="0F073D8A"/>
    <w:rsid w:val="0F091B54"/>
    <w:rsid w:val="0F0B5E28"/>
    <w:rsid w:val="0F1241C4"/>
    <w:rsid w:val="0F1B7394"/>
    <w:rsid w:val="0F307AB2"/>
    <w:rsid w:val="0F3313DE"/>
    <w:rsid w:val="0F3C0B05"/>
    <w:rsid w:val="0F3C1EB4"/>
    <w:rsid w:val="0F423ED2"/>
    <w:rsid w:val="0F4A0448"/>
    <w:rsid w:val="0F56503F"/>
    <w:rsid w:val="0F5B4403"/>
    <w:rsid w:val="0F672DA8"/>
    <w:rsid w:val="0F692FC4"/>
    <w:rsid w:val="0F6C03BE"/>
    <w:rsid w:val="0F6D2910"/>
    <w:rsid w:val="0F6E6493"/>
    <w:rsid w:val="0F777891"/>
    <w:rsid w:val="0F7F01D5"/>
    <w:rsid w:val="0F933B9D"/>
    <w:rsid w:val="0F956892"/>
    <w:rsid w:val="0F9F2542"/>
    <w:rsid w:val="0FAE2B5B"/>
    <w:rsid w:val="0FB03248"/>
    <w:rsid w:val="0FB055AB"/>
    <w:rsid w:val="0FB26719"/>
    <w:rsid w:val="0FBB1F3E"/>
    <w:rsid w:val="0FCE11FD"/>
    <w:rsid w:val="0FD0001F"/>
    <w:rsid w:val="0FDF67C4"/>
    <w:rsid w:val="0FE248B1"/>
    <w:rsid w:val="0FF13986"/>
    <w:rsid w:val="0FF7237E"/>
    <w:rsid w:val="100D0CBF"/>
    <w:rsid w:val="10121653"/>
    <w:rsid w:val="10142F30"/>
    <w:rsid w:val="10150A56"/>
    <w:rsid w:val="101D4E26"/>
    <w:rsid w:val="10230D7E"/>
    <w:rsid w:val="103B0FFA"/>
    <w:rsid w:val="1041184B"/>
    <w:rsid w:val="104220FC"/>
    <w:rsid w:val="10450FF1"/>
    <w:rsid w:val="1045758D"/>
    <w:rsid w:val="104D01F0"/>
    <w:rsid w:val="10524731"/>
    <w:rsid w:val="10532F3B"/>
    <w:rsid w:val="10540EB7"/>
    <w:rsid w:val="105E0D63"/>
    <w:rsid w:val="10650B81"/>
    <w:rsid w:val="106F63B8"/>
    <w:rsid w:val="1073069D"/>
    <w:rsid w:val="107A7662"/>
    <w:rsid w:val="1081433D"/>
    <w:rsid w:val="10A127E7"/>
    <w:rsid w:val="10A746C8"/>
    <w:rsid w:val="10A90E1E"/>
    <w:rsid w:val="10AA3690"/>
    <w:rsid w:val="10B14C22"/>
    <w:rsid w:val="10B169D0"/>
    <w:rsid w:val="10B40314"/>
    <w:rsid w:val="10B93B5D"/>
    <w:rsid w:val="10BA5C7B"/>
    <w:rsid w:val="10C304B2"/>
    <w:rsid w:val="10C36704"/>
    <w:rsid w:val="10C84048"/>
    <w:rsid w:val="10CA791B"/>
    <w:rsid w:val="10CB7366"/>
    <w:rsid w:val="10CC0E95"/>
    <w:rsid w:val="10D514BB"/>
    <w:rsid w:val="10D95F27"/>
    <w:rsid w:val="10DA7E65"/>
    <w:rsid w:val="10F36FE9"/>
    <w:rsid w:val="11012ADB"/>
    <w:rsid w:val="1108602C"/>
    <w:rsid w:val="110A7E8F"/>
    <w:rsid w:val="110C12EC"/>
    <w:rsid w:val="11103304"/>
    <w:rsid w:val="11203B56"/>
    <w:rsid w:val="11230F50"/>
    <w:rsid w:val="112E3186"/>
    <w:rsid w:val="112F78F5"/>
    <w:rsid w:val="11412AD3"/>
    <w:rsid w:val="11496C09"/>
    <w:rsid w:val="114D7316"/>
    <w:rsid w:val="114E06C3"/>
    <w:rsid w:val="114E2E99"/>
    <w:rsid w:val="11503E8B"/>
    <w:rsid w:val="11623419"/>
    <w:rsid w:val="11627CCB"/>
    <w:rsid w:val="11642BB0"/>
    <w:rsid w:val="1170063A"/>
    <w:rsid w:val="11712A86"/>
    <w:rsid w:val="117B0D8C"/>
    <w:rsid w:val="118177CD"/>
    <w:rsid w:val="11877E37"/>
    <w:rsid w:val="11892AB1"/>
    <w:rsid w:val="118A0AE5"/>
    <w:rsid w:val="11A35F07"/>
    <w:rsid w:val="11AA3420"/>
    <w:rsid w:val="11B036FF"/>
    <w:rsid w:val="11B524F0"/>
    <w:rsid w:val="11C2031E"/>
    <w:rsid w:val="11D24E50"/>
    <w:rsid w:val="11D32976"/>
    <w:rsid w:val="11D87F8D"/>
    <w:rsid w:val="11E239D1"/>
    <w:rsid w:val="11FD5C45"/>
    <w:rsid w:val="12053DD9"/>
    <w:rsid w:val="12096398"/>
    <w:rsid w:val="12163497"/>
    <w:rsid w:val="121865DB"/>
    <w:rsid w:val="1222745A"/>
    <w:rsid w:val="1245095E"/>
    <w:rsid w:val="124A56F1"/>
    <w:rsid w:val="124D2822"/>
    <w:rsid w:val="12523542"/>
    <w:rsid w:val="12567A92"/>
    <w:rsid w:val="12577104"/>
    <w:rsid w:val="12617F82"/>
    <w:rsid w:val="12665150"/>
    <w:rsid w:val="126B2BAF"/>
    <w:rsid w:val="126D1B09"/>
    <w:rsid w:val="126D3A28"/>
    <w:rsid w:val="127E0B34"/>
    <w:rsid w:val="127E6D86"/>
    <w:rsid w:val="128115FD"/>
    <w:rsid w:val="128B0C3D"/>
    <w:rsid w:val="128F04E7"/>
    <w:rsid w:val="12921A41"/>
    <w:rsid w:val="12935813"/>
    <w:rsid w:val="12987C42"/>
    <w:rsid w:val="12A53EC8"/>
    <w:rsid w:val="12AE7380"/>
    <w:rsid w:val="12BF67F1"/>
    <w:rsid w:val="12D20E80"/>
    <w:rsid w:val="12EF1A32"/>
    <w:rsid w:val="12F45882"/>
    <w:rsid w:val="12FA293C"/>
    <w:rsid w:val="12FC5EFD"/>
    <w:rsid w:val="13054DB2"/>
    <w:rsid w:val="130D7296"/>
    <w:rsid w:val="13135191"/>
    <w:rsid w:val="132308D5"/>
    <w:rsid w:val="1323146A"/>
    <w:rsid w:val="13253184"/>
    <w:rsid w:val="132818B7"/>
    <w:rsid w:val="13287873"/>
    <w:rsid w:val="133A3304"/>
    <w:rsid w:val="133D279D"/>
    <w:rsid w:val="133F1B8B"/>
    <w:rsid w:val="134753CA"/>
    <w:rsid w:val="134B4B21"/>
    <w:rsid w:val="136410DB"/>
    <w:rsid w:val="137B1518"/>
    <w:rsid w:val="137B32C6"/>
    <w:rsid w:val="137D703E"/>
    <w:rsid w:val="138802A8"/>
    <w:rsid w:val="13881915"/>
    <w:rsid w:val="138C54D3"/>
    <w:rsid w:val="13936861"/>
    <w:rsid w:val="13A4281C"/>
    <w:rsid w:val="13A520F1"/>
    <w:rsid w:val="13AE369B"/>
    <w:rsid w:val="13B62550"/>
    <w:rsid w:val="13B779A7"/>
    <w:rsid w:val="13C24A51"/>
    <w:rsid w:val="13C83072"/>
    <w:rsid w:val="13CE1647"/>
    <w:rsid w:val="13D2119F"/>
    <w:rsid w:val="13D50C28"/>
    <w:rsid w:val="13DC1B3B"/>
    <w:rsid w:val="13DF05F8"/>
    <w:rsid w:val="13E763F7"/>
    <w:rsid w:val="13E97E92"/>
    <w:rsid w:val="13EB3FA7"/>
    <w:rsid w:val="13EE5846"/>
    <w:rsid w:val="13F77E23"/>
    <w:rsid w:val="14064C04"/>
    <w:rsid w:val="141352AC"/>
    <w:rsid w:val="14216AFD"/>
    <w:rsid w:val="142C122E"/>
    <w:rsid w:val="14303E86"/>
    <w:rsid w:val="143811B7"/>
    <w:rsid w:val="14383003"/>
    <w:rsid w:val="143D057B"/>
    <w:rsid w:val="143E1410"/>
    <w:rsid w:val="144813FA"/>
    <w:rsid w:val="14540D18"/>
    <w:rsid w:val="145577B1"/>
    <w:rsid w:val="14560958"/>
    <w:rsid w:val="1457788F"/>
    <w:rsid w:val="145A2EDB"/>
    <w:rsid w:val="146975C2"/>
    <w:rsid w:val="146D2C0E"/>
    <w:rsid w:val="147C605C"/>
    <w:rsid w:val="147E5A04"/>
    <w:rsid w:val="147F375F"/>
    <w:rsid w:val="148777E9"/>
    <w:rsid w:val="14883EEC"/>
    <w:rsid w:val="148B307B"/>
    <w:rsid w:val="149B42C1"/>
    <w:rsid w:val="14A81E98"/>
    <w:rsid w:val="14C61E0A"/>
    <w:rsid w:val="14C76687"/>
    <w:rsid w:val="14CB5E06"/>
    <w:rsid w:val="14D47131"/>
    <w:rsid w:val="14DC0B0D"/>
    <w:rsid w:val="14EA24B1"/>
    <w:rsid w:val="14FC37AF"/>
    <w:rsid w:val="150271A4"/>
    <w:rsid w:val="151942B4"/>
    <w:rsid w:val="15240D32"/>
    <w:rsid w:val="15475B55"/>
    <w:rsid w:val="154F7F7D"/>
    <w:rsid w:val="15512530"/>
    <w:rsid w:val="155142DE"/>
    <w:rsid w:val="15526F98"/>
    <w:rsid w:val="15622333"/>
    <w:rsid w:val="156D4E90"/>
    <w:rsid w:val="15745013"/>
    <w:rsid w:val="15803EDF"/>
    <w:rsid w:val="158B1C21"/>
    <w:rsid w:val="158E5532"/>
    <w:rsid w:val="15966195"/>
    <w:rsid w:val="15A17A92"/>
    <w:rsid w:val="15C46ED2"/>
    <w:rsid w:val="15C9656A"/>
    <w:rsid w:val="15D5521F"/>
    <w:rsid w:val="15DB6D87"/>
    <w:rsid w:val="15DD0268"/>
    <w:rsid w:val="15E64498"/>
    <w:rsid w:val="15E96C0C"/>
    <w:rsid w:val="15EC04AB"/>
    <w:rsid w:val="15F66C34"/>
    <w:rsid w:val="15F921CF"/>
    <w:rsid w:val="15FB06EE"/>
    <w:rsid w:val="15FE1665"/>
    <w:rsid w:val="160B4B78"/>
    <w:rsid w:val="161206F8"/>
    <w:rsid w:val="16131D5F"/>
    <w:rsid w:val="16185C51"/>
    <w:rsid w:val="162602BE"/>
    <w:rsid w:val="162A64DB"/>
    <w:rsid w:val="162B76AB"/>
    <w:rsid w:val="16304DFB"/>
    <w:rsid w:val="16397448"/>
    <w:rsid w:val="164A1473"/>
    <w:rsid w:val="16557C6B"/>
    <w:rsid w:val="16637DDE"/>
    <w:rsid w:val="16704E96"/>
    <w:rsid w:val="16761AB0"/>
    <w:rsid w:val="16824DBA"/>
    <w:rsid w:val="16845DB3"/>
    <w:rsid w:val="16895CFA"/>
    <w:rsid w:val="169070D5"/>
    <w:rsid w:val="169B78A1"/>
    <w:rsid w:val="169D782C"/>
    <w:rsid w:val="16A668AC"/>
    <w:rsid w:val="16BA0495"/>
    <w:rsid w:val="16BC1C2B"/>
    <w:rsid w:val="16CD3E38"/>
    <w:rsid w:val="16CD6B0A"/>
    <w:rsid w:val="16E01DBD"/>
    <w:rsid w:val="16E92557"/>
    <w:rsid w:val="17053276"/>
    <w:rsid w:val="170768FE"/>
    <w:rsid w:val="170A6E3A"/>
    <w:rsid w:val="171001C9"/>
    <w:rsid w:val="17141470"/>
    <w:rsid w:val="171506C3"/>
    <w:rsid w:val="1715676F"/>
    <w:rsid w:val="17156920"/>
    <w:rsid w:val="172123D6"/>
    <w:rsid w:val="1722304C"/>
    <w:rsid w:val="17302243"/>
    <w:rsid w:val="173160BF"/>
    <w:rsid w:val="17323B8E"/>
    <w:rsid w:val="1735378C"/>
    <w:rsid w:val="17462CA7"/>
    <w:rsid w:val="17484943"/>
    <w:rsid w:val="176005F5"/>
    <w:rsid w:val="17662807"/>
    <w:rsid w:val="17793499"/>
    <w:rsid w:val="17852965"/>
    <w:rsid w:val="178E5FDA"/>
    <w:rsid w:val="17AD06D9"/>
    <w:rsid w:val="17AF3E20"/>
    <w:rsid w:val="17B66642"/>
    <w:rsid w:val="17BF5E77"/>
    <w:rsid w:val="17C22421"/>
    <w:rsid w:val="17CC70B0"/>
    <w:rsid w:val="17EF6030"/>
    <w:rsid w:val="18001FEB"/>
    <w:rsid w:val="18055854"/>
    <w:rsid w:val="18096884"/>
    <w:rsid w:val="18245CDA"/>
    <w:rsid w:val="1828759A"/>
    <w:rsid w:val="182E4DAB"/>
    <w:rsid w:val="182F467F"/>
    <w:rsid w:val="183202F0"/>
    <w:rsid w:val="18335F1D"/>
    <w:rsid w:val="18345177"/>
    <w:rsid w:val="18356ABD"/>
    <w:rsid w:val="183879D7"/>
    <w:rsid w:val="183C1CAF"/>
    <w:rsid w:val="183F48C2"/>
    <w:rsid w:val="1840063A"/>
    <w:rsid w:val="184674D5"/>
    <w:rsid w:val="18495740"/>
    <w:rsid w:val="184D5A25"/>
    <w:rsid w:val="1864257A"/>
    <w:rsid w:val="18720CBA"/>
    <w:rsid w:val="187432DF"/>
    <w:rsid w:val="18745B5D"/>
    <w:rsid w:val="18860743"/>
    <w:rsid w:val="18867055"/>
    <w:rsid w:val="188744BB"/>
    <w:rsid w:val="188F4AF9"/>
    <w:rsid w:val="18921053"/>
    <w:rsid w:val="189A7199"/>
    <w:rsid w:val="18A4506D"/>
    <w:rsid w:val="18AB271B"/>
    <w:rsid w:val="18AC3DD8"/>
    <w:rsid w:val="18AF7445"/>
    <w:rsid w:val="18B54B84"/>
    <w:rsid w:val="18B96638"/>
    <w:rsid w:val="18BC4164"/>
    <w:rsid w:val="18C4334D"/>
    <w:rsid w:val="18CC199C"/>
    <w:rsid w:val="18D41ED5"/>
    <w:rsid w:val="18DA0A03"/>
    <w:rsid w:val="18DA45EA"/>
    <w:rsid w:val="18E32226"/>
    <w:rsid w:val="18ED6ACD"/>
    <w:rsid w:val="18FF04F5"/>
    <w:rsid w:val="1907592E"/>
    <w:rsid w:val="19167308"/>
    <w:rsid w:val="192B5C1B"/>
    <w:rsid w:val="194859F8"/>
    <w:rsid w:val="194B7296"/>
    <w:rsid w:val="194D4ECD"/>
    <w:rsid w:val="194F11CF"/>
    <w:rsid w:val="195050FB"/>
    <w:rsid w:val="19573E8D"/>
    <w:rsid w:val="195D31AC"/>
    <w:rsid w:val="195E16BF"/>
    <w:rsid w:val="195E6FCA"/>
    <w:rsid w:val="19677E41"/>
    <w:rsid w:val="19687E48"/>
    <w:rsid w:val="196D545F"/>
    <w:rsid w:val="196E13B1"/>
    <w:rsid w:val="19706CFD"/>
    <w:rsid w:val="197113F3"/>
    <w:rsid w:val="19723D47"/>
    <w:rsid w:val="197E766C"/>
    <w:rsid w:val="197F4614"/>
    <w:rsid w:val="1990114D"/>
    <w:rsid w:val="199E199F"/>
    <w:rsid w:val="19A277FE"/>
    <w:rsid w:val="19A32B32"/>
    <w:rsid w:val="19AC12B9"/>
    <w:rsid w:val="19B412DF"/>
    <w:rsid w:val="19B97804"/>
    <w:rsid w:val="19BB441C"/>
    <w:rsid w:val="19BD6338"/>
    <w:rsid w:val="19C15306"/>
    <w:rsid w:val="19C167A6"/>
    <w:rsid w:val="19C57049"/>
    <w:rsid w:val="19CC03D7"/>
    <w:rsid w:val="19CE4C41"/>
    <w:rsid w:val="19D674A8"/>
    <w:rsid w:val="19DF07B9"/>
    <w:rsid w:val="19EC2827"/>
    <w:rsid w:val="19EE7F5C"/>
    <w:rsid w:val="19FF03AC"/>
    <w:rsid w:val="1A083FC8"/>
    <w:rsid w:val="1A0C2995"/>
    <w:rsid w:val="1A0C6ED2"/>
    <w:rsid w:val="1A145237"/>
    <w:rsid w:val="1A191824"/>
    <w:rsid w:val="1A197394"/>
    <w:rsid w:val="1A204BC7"/>
    <w:rsid w:val="1A2B5990"/>
    <w:rsid w:val="1A341559"/>
    <w:rsid w:val="1A357D2B"/>
    <w:rsid w:val="1A3938AF"/>
    <w:rsid w:val="1A3A701D"/>
    <w:rsid w:val="1A3B730B"/>
    <w:rsid w:val="1A424030"/>
    <w:rsid w:val="1A4A57A0"/>
    <w:rsid w:val="1A4E703E"/>
    <w:rsid w:val="1A535B10"/>
    <w:rsid w:val="1A5722E3"/>
    <w:rsid w:val="1A5B5BFF"/>
    <w:rsid w:val="1A732F49"/>
    <w:rsid w:val="1A7F5B57"/>
    <w:rsid w:val="1A884FA3"/>
    <w:rsid w:val="1A9122CA"/>
    <w:rsid w:val="1A9B5244"/>
    <w:rsid w:val="1A9E1655"/>
    <w:rsid w:val="1AA22489"/>
    <w:rsid w:val="1AA54097"/>
    <w:rsid w:val="1AAF5198"/>
    <w:rsid w:val="1ABC044C"/>
    <w:rsid w:val="1AC03B72"/>
    <w:rsid w:val="1AD64605"/>
    <w:rsid w:val="1AE3090A"/>
    <w:rsid w:val="1AEB2ADF"/>
    <w:rsid w:val="1AED4AA9"/>
    <w:rsid w:val="1B024252"/>
    <w:rsid w:val="1B101730"/>
    <w:rsid w:val="1B16252D"/>
    <w:rsid w:val="1B1E4ECB"/>
    <w:rsid w:val="1B2316B4"/>
    <w:rsid w:val="1B3A5814"/>
    <w:rsid w:val="1B3C158C"/>
    <w:rsid w:val="1B3E1038"/>
    <w:rsid w:val="1B4641B9"/>
    <w:rsid w:val="1B4B7A22"/>
    <w:rsid w:val="1B59213E"/>
    <w:rsid w:val="1B5F0C14"/>
    <w:rsid w:val="1B6F1962"/>
    <w:rsid w:val="1B707395"/>
    <w:rsid w:val="1B7A20B5"/>
    <w:rsid w:val="1B7B0307"/>
    <w:rsid w:val="1B827F99"/>
    <w:rsid w:val="1B9413C8"/>
    <w:rsid w:val="1B960778"/>
    <w:rsid w:val="1B9675D4"/>
    <w:rsid w:val="1BA23B7C"/>
    <w:rsid w:val="1BAB04C0"/>
    <w:rsid w:val="1BAF4651"/>
    <w:rsid w:val="1BB9498B"/>
    <w:rsid w:val="1BBC4AE4"/>
    <w:rsid w:val="1BC53330"/>
    <w:rsid w:val="1BD23C9F"/>
    <w:rsid w:val="1BD9502D"/>
    <w:rsid w:val="1BE055BE"/>
    <w:rsid w:val="1BE86590"/>
    <w:rsid w:val="1BF54CDB"/>
    <w:rsid w:val="1BFF0CB8"/>
    <w:rsid w:val="1C0A4F54"/>
    <w:rsid w:val="1C0E2F29"/>
    <w:rsid w:val="1C154808"/>
    <w:rsid w:val="1C2135BC"/>
    <w:rsid w:val="1C275D99"/>
    <w:rsid w:val="1C28093D"/>
    <w:rsid w:val="1C295FB5"/>
    <w:rsid w:val="1C3E3848"/>
    <w:rsid w:val="1C3E520E"/>
    <w:rsid w:val="1C553DFA"/>
    <w:rsid w:val="1C5564A5"/>
    <w:rsid w:val="1C5823F6"/>
    <w:rsid w:val="1C5C22D4"/>
    <w:rsid w:val="1C5E5533"/>
    <w:rsid w:val="1C6037B0"/>
    <w:rsid w:val="1C632B30"/>
    <w:rsid w:val="1C6413F5"/>
    <w:rsid w:val="1C6E0D10"/>
    <w:rsid w:val="1C785BE8"/>
    <w:rsid w:val="1C7D00AF"/>
    <w:rsid w:val="1C80194D"/>
    <w:rsid w:val="1C8036F3"/>
    <w:rsid w:val="1C8F393E"/>
    <w:rsid w:val="1C96390F"/>
    <w:rsid w:val="1C9D24FF"/>
    <w:rsid w:val="1C9E7E35"/>
    <w:rsid w:val="1CA0065E"/>
    <w:rsid w:val="1CA121A2"/>
    <w:rsid w:val="1CA23671"/>
    <w:rsid w:val="1CC730D8"/>
    <w:rsid w:val="1CC8184F"/>
    <w:rsid w:val="1CCC75CD"/>
    <w:rsid w:val="1CD76B33"/>
    <w:rsid w:val="1CE05910"/>
    <w:rsid w:val="1CE26164"/>
    <w:rsid w:val="1CF2775B"/>
    <w:rsid w:val="1D006E2F"/>
    <w:rsid w:val="1D0D31E0"/>
    <w:rsid w:val="1D2A0799"/>
    <w:rsid w:val="1D2B32E7"/>
    <w:rsid w:val="1D2C4EE2"/>
    <w:rsid w:val="1D2D73DF"/>
    <w:rsid w:val="1D3268D9"/>
    <w:rsid w:val="1D4069F9"/>
    <w:rsid w:val="1D4247B4"/>
    <w:rsid w:val="1D4E0A90"/>
    <w:rsid w:val="1D4E5E19"/>
    <w:rsid w:val="1D532BBD"/>
    <w:rsid w:val="1D540E0F"/>
    <w:rsid w:val="1D5D0A28"/>
    <w:rsid w:val="1D616D1A"/>
    <w:rsid w:val="1D63374F"/>
    <w:rsid w:val="1D6372A4"/>
    <w:rsid w:val="1D660B43"/>
    <w:rsid w:val="1D6A0633"/>
    <w:rsid w:val="1D6B43AB"/>
    <w:rsid w:val="1D6E79F7"/>
    <w:rsid w:val="1D7A3439"/>
    <w:rsid w:val="1D7F1C04"/>
    <w:rsid w:val="1D7F3BCC"/>
    <w:rsid w:val="1D9C4564"/>
    <w:rsid w:val="1DA23326"/>
    <w:rsid w:val="1DA5166B"/>
    <w:rsid w:val="1DB00010"/>
    <w:rsid w:val="1DB2069D"/>
    <w:rsid w:val="1DB33FAD"/>
    <w:rsid w:val="1DC37908"/>
    <w:rsid w:val="1DC66CF1"/>
    <w:rsid w:val="1DD575F8"/>
    <w:rsid w:val="1DE026A3"/>
    <w:rsid w:val="1DF86115"/>
    <w:rsid w:val="1E01086B"/>
    <w:rsid w:val="1E1E7014"/>
    <w:rsid w:val="1E213FD7"/>
    <w:rsid w:val="1E2276B5"/>
    <w:rsid w:val="1E312EFF"/>
    <w:rsid w:val="1E4137E5"/>
    <w:rsid w:val="1E4A0464"/>
    <w:rsid w:val="1E537319"/>
    <w:rsid w:val="1E586198"/>
    <w:rsid w:val="1E5E181A"/>
    <w:rsid w:val="1E5E7961"/>
    <w:rsid w:val="1E6555EB"/>
    <w:rsid w:val="1E6B2A02"/>
    <w:rsid w:val="1E731769"/>
    <w:rsid w:val="1E77466E"/>
    <w:rsid w:val="1E8F40C9"/>
    <w:rsid w:val="1E913BFE"/>
    <w:rsid w:val="1E933BB9"/>
    <w:rsid w:val="1E9B6E4D"/>
    <w:rsid w:val="1EAC4C7B"/>
    <w:rsid w:val="1EAF0A4E"/>
    <w:rsid w:val="1EAF2590"/>
    <w:rsid w:val="1EB37DB8"/>
    <w:rsid w:val="1EBF367A"/>
    <w:rsid w:val="1EC21DA9"/>
    <w:rsid w:val="1EC2660F"/>
    <w:rsid w:val="1EC620E5"/>
    <w:rsid w:val="1ED025D1"/>
    <w:rsid w:val="1EDD393D"/>
    <w:rsid w:val="1EE40404"/>
    <w:rsid w:val="1EE526A2"/>
    <w:rsid w:val="1EE91A2B"/>
    <w:rsid w:val="1EF53F2C"/>
    <w:rsid w:val="1EFB33BF"/>
    <w:rsid w:val="1F025688"/>
    <w:rsid w:val="1F0B558A"/>
    <w:rsid w:val="1F1F59AE"/>
    <w:rsid w:val="1F244811"/>
    <w:rsid w:val="1F670B02"/>
    <w:rsid w:val="1F686BD9"/>
    <w:rsid w:val="1F703FF3"/>
    <w:rsid w:val="1F784B5D"/>
    <w:rsid w:val="1F7F8C41"/>
    <w:rsid w:val="1F8379F1"/>
    <w:rsid w:val="1F8623F8"/>
    <w:rsid w:val="1F866656"/>
    <w:rsid w:val="1F8852E1"/>
    <w:rsid w:val="1F896D6A"/>
    <w:rsid w:val="1F8B2AE2"/>
    <w:rsid w:val="1F934EAE"/>
    <w:rsid w:val="1F9A6A0E"/>
    <w:rsid w:val="1FA53BA4"/>
    <w:rsid w:val="1FB4618F"/>
    <w:rsid w:val="1FBC2C9C"/>
    <w:rsid w:val="1FC60293"/>
    <w:rsid w:val="1FCB6C4F"/>
    <w:rsid w:val="1FD47FE6"/>
    <w:rsid w:val="1FDA1374"/>
    <w:rsid w:val="1FDE100C"/>
    <w:rsid w:val="1FE03470"/>
    <w:rsid w:val="1FEF1CA1"/>
    <w:rsid w:val="1FEF6BCD"/>
    <w:rsid w:val="1FF00B97"/>
    <w:rsid w:val="1FF42436"/>
    <w:rsid w:val="1FF71F26"/>
    <w:rsid w:val="200F101E"/>
    <w:rsid w:val="20187116"/>
    <w:rsid w:val="202C7E22"/>
    <w:rsid w:val="205050A7"/>
    <w:rsid w:val="20547378"/>
    <w:rsid w:val="205A38A2"/>
    <w:rsid w:val="206B1F7D"/>
    <w:rsid w:val="206F41B2"/>
    <w:rsid w:val="207218D1"/>
    <w:rsid w:val="20740232"/>
    <w:rsid w:val="2076421B"/>
    <w:rsid w:val="20804155"/>
    <w:rsid w:val="20846978"/>
    <w:rsid w:val="20895832"/>
    <w:rsid w:val="2091237A"/>
    <w:rsid w:val="20994D8B"/>
    <w:rsid w:val="20A0436C"/>
    <w:rsid w:val="20AC0D39"/>
    <w:rsid w:val="20AD2676"/>
    <w:rsid w:val="20B00A53"/>
    <w:rsid w:val="20B10327"/>
    <w:rsid w:val="20CC5F0A"/>
    <w:rsid w:val="20D110C1"/>
    <w:rsid w:val="20DD55C0"/>
    <w:rsid w:val="20E56222"/>
    <w:rsid w:val="20EC3AAC"/>
    <w:rsid w:val="20F16FDF"/>
    <w:rsid w:val="20F43988"/>
    <w:rsid w:val="20F63F8C"/>
    <w:rsid w:val="20FA2D31"/>
    <w:rsid w:val="2101411A"/>
    <w:rsid w:val="21047D7E"/>
    <w:rsid w:val="2108324D"/>
    <w:rsid w:val="210C7C53"/>
    <w:rsid w:val="21110DC5"/>
    <w:rsid w:val="21162880"/>
    <w:rsid w:val="211A722C"/>
    <w:rsid w:val="211D77DD"/>
    <w:rsid w:val="21240AF9"/>
    <w:rsid w:val="21336505"/>
    <w:rsid w:val="213F05C7"/>
    <w:rsid w:val="21400220"/>
    <w:rsid w:val="21464F13"/>
    <w:rsid w:val="21472A39"/>
    <w:rsid w:val="215217F5"/>
    <w:rsid w:val="216A36AE"/>
    <w:rsid w:val="21771DC7"/>
    <w:rsid w:val="217C3D30"/>
    <w:rsid w:val="21803A84"/>
    <w:rsid w:val="21811B16"/>
    <w:rsid w:val="21814741"/>
    <w:rsid w:val="21867881"/>
    <w:rsid w:val="218B501C"/>
    <w:rsid w:val="21961C6B"/>
    <w:rsid w:val="219771C8"/>
    <w:rsid w:val="21C35D68"/>
    <w:rsid w:val="21F23AD9"/>
    <w:rsid w:val="22007F79"/>
    <w:rsid w:val="2229610E"/>
    <w:rsid w:val="223905D4"/>
    <w:rsid w:val="22442632"/>
    <w:rsid w:val="224F7CE7"/>
    <w:rsid w:val="225D4F0B"/>
    <w:rsid w:val="225E0A8E"/>
    <w:rsid w:val="22622887"/>
    <w:rsid w:val="226328AB"/>
    <w:rsid w:val="2268348C"/>
    <w:rsid w:val="226D4721"/>
    <w:rsid w:val="2271780A"/>
    <w:rsid w:val="22765384"/>
    <w:rsid w:val="22781AF5"/>
    <w:rsid w:val="228B62C2"/>
    <w:rsid w:val="22A908E4"/>
    <w:rsid w:val="22B660C8"/>
    <w:rsid w:val="22BF15CD"/>
    <w:rsid w:val="22BF7D83"/>
    <w:rsid w:val="22C5016C"/>
    <w:rsid w:val="22D327D6"/>
    <w:rsid w:val="22DF5768"/>
    <w:rsid w:val="22E04A32"/>
    <w:rsid w:val="22E5075C"/>
    <w:rsid w:val="22EB5812"/>
    <w:rsid w:val="22F1429A"/>
    <w:rsid w:val="22FF181D"/>
    <w:rsid w:val="2309444A"/>
    <w:rsid w:val="230C07D1"/>
    <w:rsid w:val="231737DA"/>
    <w:rsid w:val="232C6B09"/>
    <w:rsid w:val="233C2238"/>
    <w:rsid w:val="2345352F"/>
    <w:rsid w:val="23480F82"/>
    <w:rsid w:val="235261BD"/>
    <w:rsid w:val="23672D84"/>
    <w:rsid w:val="236E6BF8"/>
    <w:rsid w:val="23760358"/>
    <w:rsid w:val="237613B4"/>
    <w:rsid w:val="23761FB5"/>
    <w:rsid w:val="237856E2"/>
    <w:rsid w:val="237B69CA"/>
    <w:rsid w:val="237C6322"/>
    <w:rsid w:val="238166D6"/>
    <w:rsid w:val="23865A9B"/>
    <w:rsid w:val="238B30B1"/>
    <w:rsid w:val="23A203FB"/>
    <w:rsid w:val="23BD6FE3"/>
    <w:rsid w:val="23C30A9D"/>
    <w:rsid w:val="23C71C0F"/>
    <w:rsid w:val="23CC2EB8"/>
    <w:rsid w:val="23EC113F"/>
    <w:rsid w:val="23F07EF6"/>
    <w:rsid w:val="24070C55"/>
    <w:rsid w:val="240F3CE2"/>
    <w:rsid w:val="24113A54"/>
    <w:rsid w:val="24161299"/>
    <w:rsid w:val="24180127"/>
    <w:rsid w:val="241C1F5B"/>
    <w:rsid w:val="241C3D7E"/>
    <w:rsid w:val="2432177F"/>
    <w:rsid w:val="24392B0D"/>
    <w:rsid w:val="243F5206"/>
    <w:rsid w:val="24450BC8"/>
    <w:rsid w:val="24480FA2"/>
    <w:rsid w:val="24577437"/>
    <w:rsid w:val="245B500A"/>
    <w:rsid w:val="245D4E45"/>
    <w:rsid w:val="245F6CDB"/>
    <w:rsid w:val="24661428"/>
    <w:rsid w:val="2468050F"/>
    <w:rsid w:val="247748F3"/>
    <w:rsid w:val="24857B00"/>
    <w:rsid w:val="248D64E1"/>
    <w:rsid w:val="24921275"/>
    <w:rsid w:val="2498644C"/>
    <w:rsid w:val="24A53231"/>
    <w:rsid w:val="24AD03C9"/>
    <w:rsid w:val="24AF64E2"/>
    <w:rsid w:val="24D3181D"/>
    <w:rsid w:val="24D54036"/>
    <w:rsid w:val="25042A95"/>
    <w:rsid w:val="25076767"/>
    <w:rsid w:val="25151348"/>
    <w:rsid w:val="25162E4E"/>
    <w:rsid w:val="251C39D2"/>
    <w:rsid w:val="251C60A7"/>
    <w:rsid w:val="251E79B1"/>
    <w:rsid w:val="252645FE"/>
    <w:rsid w:val="25307E96"/>
    <w:rsid w:val="254359A0"/>
    <w:rsid w:val="254800FA"/>
    <w:rsid w:val="25487D87"/>
    <w:rsid w:val="25540371"/>
    <w:rsid w:val="255738F3"/>
    <w:rsid w:val="256242E5"/>
    <w:rsid w:val="25665B84"/>
    <w:rsid w:val="256960E4"/>
    <w:rsid w:val="25814783"/>
    <w:rsid w:val="258355FB"/>
    <w:rsid w:val="25860FA2"/>
    <w:rsid w:val="258778A8"/>
    <w:rsid w:val="25896B14"/>
    <w:rsid w:val="258C44E3"/>
    <w:rsid w:val="258E557A"/>
    <w:rsid w:val="25902C01"/>
    <w:rsid w:val="25962B88"/>
    <w:rsid w:val="259634A3"/>
    <w:rsid w:val="259650FC"/>
    <w:rsid w:val="259A5BC7"/>
    <w:rsid w:val="259B1E4C"/>
    <w:rsid w:val="259D79CE"/>
    <w:rsid w:val="25A42208"/>
    <w:rsid w:val="25A93CC2"/>
    <w:rsid w:val="25AE14E7"/>
    <w:rsid w:val="25AE1F47"/>
    <w:rsid w:val="25B318F4"/>
    <w:rsid w:val="25BB6D3C"/>
    <w:rsid w:val="25BF5294"/>
    <w:rsid w:val="25CB1092"/>
    <w:rsid w:val="25CD12A2"/>
    <w:rsid w:val="25D845A8"/>
    <w:rsid w:val="25D9023D"/>
    <w:rsid w:val="25DA20CE"/>
    <w:rsid w:val="25DF0951"/>
    <w:rsid w:val="25EE259F"/>
    <w:rsid w:val="25F20FBF"/>
    <w:rsid w:val="25FD5DBC"/>
    <w:rsid w:val="26087285"/>
    <w:rsid w:val="26105AEF"/>
    <w:rsid w:val="261977A4"/>
    <w:rsid w:val="261A071C"/>
    <w:rsid w:val="26252D3B"/>
    <w:rsid w:val="26264322"/>
    <w:rsid w:val="26270419"/>
    <w:rsid w:val="262C710E"/>
    <w:rsid w:val="26331461"/>
    <w:rsid w:val="263F0183"/>
    <w:rsid w:val="26404627"/>
    <w:rsid w:val="26452058"/>
    <w:rsid w:val="26484622"/>
    <w:rsid w:val="265E0E77"/>
    <w:rsid w:val="265F1667"/>
    <w:rsid w:val="266251D2"/>
    <w:rsid w:val="2666570F"/>
    <w:rsid w:val="266812FF"/>
    <w:rsid w:val="2668395B"/>
    <w:rsid w:val="26685993"/>
    <w:rsid w:val="26811F87"/>
    <w:rsid w:val="26A15BB0"/>
    <w:rsid w:val="26A22F53"/>
    <w:rsid w:val="26A5703B"/>
    <w:rsid w:val="26AD43F0"/>
    <w:rsid w:val="26B11081"/>
    <w:rsid w:val="26B30242"/>
    <w:rsid w:val="26C04A78"/>
    <w:rsid w:val="26C13CC2"/>
    <w:rsid w:val="26D5433A"/>
    <w:rsid w:val="26ED1903"/>
    <w:rsid w:val="270F7B55"/>
    <w:rsid w:val="27184E29"/>
    <w:rsid w:val="271B0BF0"/>
    <w:rsid w:val="271E7B57"/>
    <w:rsid w:val="2727601A"/>
    <w:rsid w:val="272A0E33"/>
    <w:rsid w:val="272A498F"/>
    <w:rsid w:val="27371A72"/>
    <w:rsid w:val="273D6418"/>
    <w:rsid w:val="27407D55"/>
    <w:rsid w:val="274243CE"/>
    <w:rsid w:val="27441EF5"/>
    <w:rsid w:val="27467C6F"/>
    <w:rsid w:val="27483CC3"/>
    <w:rsid w:val="27595274"/>
    <w:rsid w:val="275A34C6"/>
    <w:rsid w:val="275A54FD"/>
    <w:rsid w:val="276205CD"/>
    <w:rsid w:val="27644D1D"/>
    <w:rsid w:val="27653C19"/>
    <w:rsid w:val="276C6F54"/>
    <w:rsid w:val="277420AE"/>
    <w:rsid w:val="27772991"/>
    <w:rsid w:val="277D5469"/>
    <w:rsid w:val="2788185D"/>
    <w:rsid w:val="27951CF5"/>
    <w:rsid w:val="27961E98"/>
    <w:rsid w:val="279A3902"/>
    <w:rsid w:val="279B588D"/>
    <w:rsid w:val="27AC55C1"/>
    <w:rsid w:val="27B506FD"/>
    <w:rsid w:val="27B77DE9"/>
    <w:rsid w:val="27B877FD"/>
    <w:rsid w:val="27CC1EEA"/>
    <w:rsid w:val="27D33A7D"/>
    <w:rsid w:val="27D52B4D"/>
    <w:rsid w:val="27D8088F"/>
    <w:rsid w:val="27D9565A"/>
    <w:rsid w:val="27E2207D"/>
    <w:rsid w:val="27E84B17"/>
    <w:rsid w:val="27F56785"/>
    <w:rsid w:val="27F65145"/>
    <w:rsid w:val="28034484"/>
    <w:rsid w:val="280E6B4E"/>
    <w:rsid w:val="28243AD4"/>
    <w:rsid w:val="282923F0"/>
    <w:rsid w:val="28353AED"/>
    <w:rsid w:val="28377363"/>
    <w:rsid w:val="28475245"/>
    <w:rsid w:val="28486FF0"/>
    <w:rsid w:val="284A203F"/>
    <w:rsid w:val="284E2525"/>
    <w:rsid w:val="28532078"/>
    <w:rsid w:val="285C6770"/>
    <w:rsid w:val="28663FBB"/>
    <w:rsid w:val="286640ED"/>
    <w:rsid w:val="2869172C"/>
    <w:rsid w:val="286B525F"/>
    <w:rsid w:val="286C6DAE"/>
    <w:rsid w:val="287265EE"/>
    <w:rsid w:val="28730611"/>
    <w:rsid w:val="28747F47"/>
    <w:rsid w:val="287711B7"/>
    <w:rsid w:val="287D185D"/>
    <w:rsid w:val="287E3208"/>
    <w:rsid w:val="288051AE"/>
    <w:rsid w:val="288D1679"/>
    <w:rsid w:val="28910F03"/>
    <w:rsid w:val="28965736"/>
    <w:rsid w:val="28A47074"/>
    <w:rsid w:val="28AA3FD9"/>
    <w:rsid w:val="28D63020"/>
    <w:rsid w:val="28DA4193"/>
    <w:rsid w:val="28DD53F1"/>
    <w:rsid w:val="28E05C4D"/>
    <w:rsid w:val="28EE4C6D"/>
    <w:rsid w:val="28F9286B"/>
    <w:rsid w:val="28F96D0F"/>
    <w:rsid w:val="29000DD1"/>
    <w:rsid w:val="290C6A42"/>
    <w:rsid w:val="291122AA"/>
    <w:rsid w:val="29157749"/>
    <w:rsid w:val="291B4189"/>
    <w:rsid w:val="29213A2F"/>
    <w:rsid w:val="2927387C"/>
    <w:rsid w:val="29283150"/>
    <w:rsid w:val="292C6C34"/>
    <w:rsid w:val="292D0604"/>
    <w:rsid w:val="29355605"/>
    <w:rsid w:val="293B7327"/>
    <w:rsid w:val="29430EEC"/>
    <w:rsid w:val="29437BE4"/>
    <w:rsid w:val="294D3014"/>
    <w:rsid w:val="294D3E3E"/>
    <w:rsid w:val="29527BB1"/>
    <w:rsid w:val="29567CBD"/>
    <w:rsid w:val="295959FF"/>
    <w:rsid w:val="295A4C13"/>
    <w:rsid w:val="295B6B33"/>
    <w:rsid w:val="295D4C80"/>
    <w:rsid w:val="29611A3A"/>
    <w:rsid w:val="296323DA"/>
    <w:rsid w:val="296C74E1"/>
    <w:rsid w:val="296D0397"/>
    <w:rsid w:val="296D6510"/>
    <w:rsid w:val="296E3259"/>
    <w:rsid w:val="2976035F"/>
    <w:rsid w:val="297F4B8F"/>
    <w:rsid w:val="2986291D"/>
    <w:rsid w:val="29891E41"/>
    <w:rsid w:val="29AA560E"/>
    <w:rsid w:val="29AF22D0"/>
    <w:rsid w:val="29B11398"/>
    <w:rsid w:val="29B63325"/>
    <w:rsid w:val="29C27101"/>
    <w:rsid w:val="29C42E79"/>
    <w:rsid w:val="29C665D3"/>
    <w:rsid w:val="29CD125E"/>
    <w:rsid w:val="29D273F6"/>
    <w:rsid w:val="29E71475"/>
    <w:rsid w:val="29EB6986"/>
    <w:rsid w:val="29F63C3F"/>
    <w:rsid w:val="29F80D74"/>
    <w:rsid w:val="2A0B0DEE"/>
    <w:rsid w:val="2A0D1FB9"/>
    <w:rsid w:val="2A0F4FD8"/>
    <w:rsid w:val="2A1D0A22"/>
    <w:rsid w:val="2A1F4B9C"/>
    <w:rsid w:val="2A326386"/>
    <w:rsid w:val="2A383867"/>
    <w:rsid w:val="2A3F0751"/>
    <w:rsid w:val="2A463EFD"/>
    <w:rsid w:val="2A4C0D6D"/>
    <w:rsid w:val="2A4D18D4"/>
    <w:rsid w:val="2A565498"/>
    <w:rsid w:val="2A5E25E7"/>
    <w:rsid w:val="2A6401B8"/>
    <w:rsid w:val="2A775824"/>
    <w:rsid w:val="2A781EB5"/>
    <w:rsid w:val="2A7E2FBD"/>
    <w:rsid w:val="2A7E3970"/>
    <w:rsid w:val="2A8370E9"/>
    <w:rsid w:val="2A870AC1"/>
    <w:rsid w:val="2A88034A"/>
    <w:rsid w:val="2A9767DF"/>
    <w:rsid w:val="2AA14F67"/>
    <w:rsid w:val="2AA1765E"/>
    <w:rsid w:val="2AA902C1"/>
    <w:rsid w:val="2AB253C7"/>
    <w:rsid w:val="2ABB749D"/>
    <w:rsid w:val="2AC62C21"/>
    <w:rsid w:val="2ACA554D"/>
    <w:rsid w:val="2AD0795F"/>
    <w:rsid w:val="2ADF5470"/>
    <w:rsid w:val="2AEF021C"/>
    <w:rsid w:val="2AFB4C99"/>
    <w:rsid w:val="2AFE01E0"/>
    <w:rsid w:val="2AFE685E"/>
    <w:rsid w:val="2B082A58"/>
    <w:rsid w:val="2B0E25EF"/>
    <w:rsid w:val="2B0F62FF"/>
    <w:rsid w:val="2B1622E8"/>
    <w:rsid w:val="2B1A2843"/>
    <w:rsid w:val="2B1D796E"/>
    <w:rsid w:val="2B1E480B"/>
    <w:rsid w:val="2B22171F"/>
    <w:rsid w:val="2B3E200D"/>
    <w:rsid w:val="2B444F98"/>
    <w:rsid w:val="2B534F40"/>
    <w:rsid w:val="2B585F6F"/>
    <w:rsid w:val="2B595843"/>
    <w:rsid w:val="2B5B5A5F"/>
    <w:rsid w:val="2B65068C"/>
    <w:rsid w:val="2B683CD8"/>
    <w:rsid w:val="2B777360"/>
    <w:rsid w:val="2B786718"/>
    <w:rsid w:val="2B7D59D5"/>
    <w:rsid w:val="2B85488A"/>
    <w:rsid w:val="2B8C5563"/>
    <w:rsid w:val="2B91322F"/>
    <w:rsid w:val="2B936418"/>
    <w:rsid w:val="2B9D19F7"/>
    <w:rsid w:val="2BAC0068"/>
    <w:rsid w:val="2BAD3D2B"/>
    <w:rsid w:val="2BC2163A"/>
    <w:rsid w:val="2BC30788"/>
    <w:rsid w:val="2BD358AE"/>
    <w:rsid w:val="2BDA2E28"/>
    <w:rsid w:val="2BE111B9"/>
    <w:rsid w:val="2BE72B57"/>
    <w:rsid w:val="2BEC1007"/>
    <w:rsid w:val="2BEC4909"/>
    <w:rsid w:val="2BF06A33"/>
    <w:rsid w:val="2BF33EE9"/>
    <w:rsid w:val="2BF51A0F"/>
    <w:rsid w:val="2BF57C61"/>
    <w:rsid w:val="2BFC5F1F"/>
    <w:rsid w:val="2C0C0B07"/>
    <w:rsid w:val="2C106296"/>
    <w:rsid w:val="2C190808"/>
    <w:rsid w:val="2C1D605F"/>
    <w:rsid w:val="2C2A5838"/>
    <w:rsid w:val="2C332538"/>
    <w:rsid w:val="2C36164E"/>
    <w:rsid w:val="2C373483"/>
    <w:rsid w:val="2C4038B6"/>
    <w:rsid w:val="2C443560"/>
    <w:rsid w:val="2C4464F3"/>
    <w:rsid w:val="2C53629D"/>
    <w:rsid w:val="2C5C383D"/>
    <w:rsid w:val="2C636D95"/>
    <w:rsid w:val="2C6646BB"/>
    <w:rsid w:val="2C6941AB"/>
    <w:rsid w:val="2C6D30CB"/>
    <w:rsid w:val="2C7F39CF"/>
    <w:rsid w:val="2C842BA5"/>
    <w:rsid w:val="2C882884"/>
    <w:rsid w:val="2C8D1C48"/>
    <w:rsid w:val="2C8E3F4B"/>
    <w:rsid w:val="2C8F291F"/>
    <w:rsid w:val="2CA12159"/>
    <w:rsid w:val="2CA123AE"/>
    <w:rsid w:val="2CAB47C4"/>
    <w:rsid w:val="2CB74F17"/>
    <w:rsid w:val="2CBA0563"/>
    <w:rsid w:val="2CC6162B"/>
    <w:rsid w:val="2CD221EE"/>
    <w:rsid w:val="2CDA6E57"/>
    <w:rsid w:val="2CE11F94"/>
    <w:rsid w:val="2CE451F3"/>
    <w:rsid w:val="2CEC27AA"/>
    <w:rsid w:val="2CEF46B1"/>
    <w:rsid w:val="2CF215C8"/>
    <w:rsid w:val="2CF85EED"/>
    <w:rsid w:val="2D071DCC"/>
    <w:rsid w:val="2D07260C"/>
    <w:rsid w:val="2D0F08AF"/>
    <w:rsid w:val="2D103A00"/>
    <w:rsid w:val="2D19172E"/>
    <w:rsid w:val="2D331337"/>
    <w:rsid w:val="2D3D38B5"/>
    <w:rsid w:val="2D3E2F42"/>
    <w:rsid w:val="2D49434D"/>
    <w:rsid w:val="2D4F02A6"/>
    <w:rsid w:val="2D4F4030"/>
    <w:rsid w:val="2D587F04"/>
    <w:rsid w:val="2D5A3DD5"/>
    <w:rsid w:val="2D6055AE"/>
    <w:rsid w:val="2D652BC5"/>
    <w:rsid w:val="2D6D1A79"/>
    <w:rsid w:val="2D841829"/>
    <w:rsid w:val="2D8748E9"/>
    <w:rsid w:val="2D8A5792"/>
    <w:rsid w:val="2D921E75"/>
    <w:rsid w:val="2D962D7E"/>
    <w:rsid w:val="2D995234"/>
    <w:rsid w:val="2DA06765"/>
    <w:rsid w:val="2DA07759"/>
    <w:rsid w:val="2DA1427C"/>
    <w:rsid w:val="2DAD7D50"/>
    <w:rsid w:val="2DB7565B"/>
    <w:rsid w:val="2DBB1F7A"/>
    <w:rsid w:val="2DC55411"/>
    <w:rsid w:val="2DCA0C7A"/>
    <w:rsid w:val="2DD15077"/>
    <w:rsid w:val="2DD93956"/>
    <w:rsid w:val="2DE030D9"/>
    <w:rsid w:val="2DE47F8D"/>
    <w:rsid w:val="2DE97864"/>
    <w:rsid w:val="2DF409C4"/>
    <w:rsid w:val="2E05200C"/>
    <w:rsid w:val="2E0C1292"/>
    <w:rsid w:val="2E0F7C3B"/>
    <w:rsid w:val="2E14419A"/>
    <w:rsid w:val="2E204D3E"/>
    <w:rsid w:val="2E240F9E"/>
    <w:rsid w:val="2E312AA7"/>
    <w:rsid w:val="2E3305CD"/>
    <w:rsid w:val="2E356C4C"/>
    <w:rsid w:val="2E3E5605"/>
    <w:rsid w:val="2E424CB4"/>
    <w:rsid w:val="2E433D29"/>
    <w:rsid w:val="2E4A3EFC"/>
    <w:rsid w:val="2E587334"/>
    <w:rsid w:val="2E5A79B2"/>
    <w:rsid w:val="2E644C2A"/>
    <w:rsid w:val="2E68033B"/>
    <w:rsid w:val="2E8170C4"/>
    <w:rsid w:val="2E884002"/>
    <w:rsid w:val="2E89643F"/>
    <w:rsid w:val="2E9572C3"/>
    <w:rsid w:val="2E96490B"/>
    <w:rsid w:val="2E991487"/>
    <w:rsid w:val="2E9D24E3"/>
    <w:rsid w:val="2E9D5D15"/>
    <w:rsid w:val="2EAC6390"/>
    <w:rsid w:val="2EAD6D5A"/>
    <w:rsid w:val="2EBF6305"/>
    <w:rsid w:val="2EC0365B"/>
    <w:rsid w:val="2EC26600"/>
    <w:rsid w:val="2ED718A0"/>
    <w:rsid w:val="2EDB2A1C"/>
    <w:rsid w:val="2EE45937"/>
    <w:rsid w:val="2EEB4E30"/>
    <w:rsid w:val="2EF74DD9"/>
    <w:rsid w:val="2F025A51"/>
    <w:rsid w:val="2F034830"/>
    <w:rsid w:val="2F0A3497"/>
    <w:rsid w:val="2F0E4B96"/>
    <w:rsid w:val="2F0F3ECE"/>
    <w:rsid w:val="2F1B02D3"/>
    <w:rsid w:val="2F316003"/>
    <w:rsid w:val="2F39508D"/>
    <w:rsid w:val="2F424895"/>
    <w:rsid w:val="2F4D7D91"/>
    <w:rsid w:val="2F4E3E09"/>
    <w:rsid w:val="2F57478F"/>
    <w:rsid w:val="2F5B427F"/>
    <w:rsid w:val="2F5E167A"/>
    <w:rsid w:val="2F7610B9"/>
    <w:rsid w:val="2F8116AB"/>
    <w:rsid w:val="2F8449B2"/>
    <w:rsid w:val="2F8F5CD7"/>
    <w:rsid w:val="2F9B467C"/>
    <w:rsid w:val="2FA5002B"/>
    <w:rsid w:val="2FAC0C6B"/>
    <w:rsid w:val="2FAC4ADB"/>
    <w:rsid w:val="2FB27C17"/>
    <w:rsid w:val="2FB6580A"/>
    <w:rsid w:val="2FB67784"/>
    <w:rsid w:val="2FBB2F70"/>
    <w:rsid w:val="2FBE68FF"/>
    <w:rsid w:val="2FBF5AF9"/>
    <w:rsid w:val="2FCB34DF"/>
    <w:rsid w:val="2FCC7203"/>
    <w:rsid w:val="2FCF1BA5"/>
    <w:rsid w:val="2FD8767E"/>
    <w:rsid w:val="2FF975F4"/>
    <w:rsid w:val="30010B15"/>
    <w:rsid w:val="30087837"/>
    <w:rsid w:val="300B353E"/>
    <w:rsid w:val="301663F8"/>
    <w:rsid w:val="301D0CEA"/>
    <w:rsid w:val="301D3804"/>
    <w:rsid w:val="30203BF9"/>
    <w:rsid w:val="30316D8E"/>
    <w:rsid w:val="30336FAA"/>
    <w:rsid w:val="304E02C8"/>
    <w:rsid w:val="30570659"/>
    <w:rsid w:val="30586A11"/>
    <w:rsid w:val="305A62E5"/>
    <w:rsid w:val="30600DDD"/>
    <w:rsid w:val="30654C8A"/>
    <w:rsid w:val="306D6D08"/>
    <w:rsid w:val="307603AB"/>
    <w:rsid w:val="307B0DF6"/>
    <w:rsid w:val="307D1FD3"/>
    <w:rsid w:val="308050E6"/>
    <w:rsid w:val="30891518"/>
    <w:rsid w:val="308E2433"/>
    <w:rsid w:val="30A532D8"/>
    <w:rsid w:val="30AA3739"/>
    <w:rsid w:val="30B174A3"/>
    <w:rsid w:val="30B5176D"/>
    <w:rsid w:val="30B922BE"/>
    <w:rsid w:val="30C47073"/>
    <w:rsid w:val="30CC6AB7"/>
    <w:rsid w:val="30DF5845"/>
    <w:rsid w:val="30E16A06"/>
    <w:rsid w:val="30E33853"/>
    <w:rsid w:val="30F524B2"/>
    <w:rsid w:val="30FA375C"/>
    <w:rsid w:val="30FB5D8D"/>
    <w:rsid w:val="30FB6377"/>
    <w:rsid w:val="3103697D"/>
    <w:rsid w:val="31091AB9"/>
    <w:rsid w:val="310B68A9"/>
    <w:rsid w:val="311C381A"/>
    <w:rsid w:val="312945C7"/>
    <w:rsid w:val="31342FDA"/>
    <w:rsid w:val="31366AB3"/>
    <w:rsid w:val="313D285F"/>
    <w:rsid w:val="313E1763"/>
    <w:rsid w:val="31434FCB"/>
    <w:rsid w:val="315E3BB3"/>
    <w:rsid w:val="31685267"/>
    <w:rsid w:val="31723545"/>
    <w:rsid w:val="3175714F"/>
    <w:rsid w:val="317F3145"/>
    <w:rsid w:val="31A530F8"/>
    <w:rsid w:val="31B732C3"/>
    <w:rsid w:val="31BB0CE6"/>
    <w:rsid w:val="31DE0830"/>
    <w:rsid w:val="31E0281A"/>
    <w:rsid w:val="31E22A36"/>
    <w:rsid w:val="31EC7791"/>
    <w:rsid w:val="31F44517"/>
    <w:rsid w:val="31FE5396"/>
    <w:rsid w:val="32043806"/>
    <w:rsid w:val="320504D2"/>
    <w:rsid w:val="3210404D"/>
    <w:rsid w:val="32105CF7"/>
    <w:rsid w:val="32192C11"/>
    <w:rsid w:val="321E1594"/>
    <w:rsid w:val="32252923"/>
    <w:rsid w:val="32291836"/>
    <w:rsid w:val="323D7C6C"/>
    <w:rsid w:val="3240150B"/>
    <w:rsid w:val="324234D5"/>
    <w:rsid w:val="324A1686"/>
    <w:rsid w:val="325B00F2"/>
    <w:rsid w:val="325C15CF"/>
    <w:rsid w:val="325C317D"/>
    <w:rsid w:val="32614B47"/>
    <w:rsid w:val="3267521C"/>
    <w:rsid w:val="32751332"/>
    <w:rsid w:val="32795868"/>
    <w:rsid w:val="32804AE4"/>
    <w:rsid w:val="32892EB1"/>
    <w:rsid w:val="328D3825"/>
    <w:rsid w:val="32A23F73"/>
    <w:rsid w:val="32A96A2A"/>
    <w:rsid w:val="32B048E2"/>
    <w:rsid w:val="32B23B0C"/>
    <w:rsid w:val="32B85C45"/>
    <w:rsid w:val="32C235B0"/>
    <w:rsid w:val="32C80657"/>
    <w:rsid w:val="32D0288E"/>
    <w:rsid w:val="32DF2AD1"/>
    <w:rsid w:val="32F04CDF"/>
    <w:rsid w:val="32F52609"/>
    <w:rsid w:val="32FC7B27"/>
    <w:rsid w:val="32FF4F22"/>
    <w:rsid w:val="33066910"/>
    <w:rsid w:val="330E1609"/>
    <w:rsid w:val="330F784A"/>
    <w:rsid w:val="33122EA7"/>
    <w:rsid w:val="331D1A3A"/>
    <w:rsid w:val="33290D9C"/>
    <w:rsid w:val="332A5E88"/>
    <w:rsid w:val="332F46D9"/>
    <w:rsid w:val="334072EF"/>
    <w:rsid w:val="3365795D"/>
    <w:rsid w:val="336631F3"/>
    <w:rsid w:val="33677D8D"/>
    <w:rsid w:val="33705E1F"/>
    <w:rsid w:val="337A6C9E"/>
    <w:rsid w:val="337B756A"/>
    <w:rsid w:val="337C268F"/>
    <w:rsid w:val="338C7AE1"/>
    <w:rsid w:val="338E47CF"/>
    <w:rsid w:val="3395326F"/>
    <w:rsid w:val="33A15FD9"/>
    <w:rsid w:val="33A6493C"/>
    <w:rsid w:val="33A919F8"/>
    <w:rsid w:val="33A930DF"/>
    <w:rsid w:val="33AF52A6"/>
    <w:rsid w:val="33B34C37"/>
    <w:rsid w:val="33B977C6"/>
    <w:rsid w:val="33C63A08"/>
    <w:rsid w:val="33C64103"/>
    <w:rsid w:val="33C955E5"/>
    <w:rsid w:val="33CD0F78"/>
    <w:rsid w:val="33CD37F3"/>
    <w:rsid w:val="33CF6FEA"/>
    <w:rsid w:val="33D16F18"/>
    <w:rsid w:val="33D26ADA"/>
    <w:rsid w:val="33D30EC6"/>
    <w:rsid w:val="33D97E69"/>
    <w:rsid w:val="33E22FD7"/>
    <w:rsid w:val="33E81E5A"/>
    <w:rsid w:val="33F94067"/>
    <w:rsid w:val="33F9584E"/>
    <w:rsid w:val="34205B4A"/>
    <w:rsid w:val="342B16AD"/>
    <w:rsid w:val="342E729D"/>
    <w:rsid w:val="342F1801"/>
    <w:rsid w:val="343B01DB"/>
    <w:rsid w:val="34446A95"/>
    <w:rsid w:val="34544A3A"/>
    <w:rsid w:val="34565015"/>
    <w:rsid w:val="346E25BF"/>
    <w:rsid w:val="34706DEA"/>
    <w:rsid w:val="347436ED"/>
    <w:rsid w:val="34767986"/>
    <w:rsid w:val="347F5DF7"/>
    <w:rsid w:val="34827719"/>
    <w:rsid w:val="34873421"/>
    <w:rsid w:val="34897732"/>
    <w:rsid w:val="348F3728"/>
    <w:rsid w:val="349B511E"/>
    <w:rsid w:val="34A55F9D"/>
    <w:rsid w:val="34B91C21"/>
    <w:rsid w:val="34BA6656"/>
    <w:rsid w:val="34BB3BE7"/>
    <w:rsid w:val="34C21397"/>
    <w:rsid w:val="34CD6C66"/>
    <w:rsid w:val="34D00B3E"/>
    <w:rsid w:val="34D6054A"/>
    <w:rsid w:val="34DB19BE"/>
    <w:rsid w:val="34DF500B"/>
    <w:rsid w:val="34E02B31"/>
    <w:rsid w:val="34E84619"/>
    <w:rsid w:val="34EE524E"/>
    <w:rsid w:val="34F3244D"/>
    <w:rsid w:val="34F52A80"/>
    <w:rsid w:val="34F6450C"/>
    <w:rsid w:val="34FA3BF3"/>
    <w:rsid w:val="34FC6990"/>
    <w:rsid w:val="35042CC3"/>
    <w:rsid w:val="35092088"/>
    <w:rsid w:val="35124D43"/>
    <w:rsid w:val="35154ED0"/>
    <w:rsid w:val="351B1DBB"/>
    <w:rsid w:val="352C4BF7"/>
    <w:rsid w:val="353061F3"/>
    <w:rsid w:val="353723DB"/>
    <w:rsid w:val="35417A73"/>
    <w:rsid w:val="354237EC"/>
    <w:rsid w:val="35431A3E"/>
    <w:rsid w:val="354A121A"/>
    <w:rsid w:val="35545677"/>
    <w:rsid w:val="35596D45"/>
    <w:rsid w:val="356716D2"/>
    <w:rsid w:val="3576049A"/>
    <w:rsid w:val="357C0AAC"/>
    <w:rsid w:val="357C5910"/>
    <w:rsid w:val="357F234A"/>
    <w:rsid w:val="358812AE"/>
    <w:rsid w:val="358838F4"/>
    <w:rsid w:val="35910960"/>
    <w:rsid w:val="35927CC8"/>
    <w:rsid w:val="3599165E"/>
    <w:rsid w:val="359A3628"/>
    <w:rsid w:val="359C15F8"/>
    <w:rsid w:val="35A4103B"/>
    <w:rsid w:val="35AB7BFD"/>
    <w:rsid w:val="35AE4685"/>
    <w:rsid w:val="35B44A00"/>
    <w:rsid w:val="35BD59A2"/>
    <w:rsid w:val="35C97A69"/>
    <w:rsid w:val="35CA2734"/>
    <w:rsid w:val="35DA654F"/>
    <w:rsid w:val="35E655A0"/>
    <w:rsid w:val="35F03283"/>
    <w:rsid w:val="35F303F6"/>
    <w:rsid w:val="35FD13A9"/>
    <w:rsid w:val="360040FE"/>
    <w:rsid w:val="36012698"/>
    <w:rsid w:val="36113D91"/>
    <w:rsid w:val="36194ED3"/>
    <w:rsid w:val="361E5AAD"/>
    <w:rsid w:val="36274EBB"/>
    <w:rsid w:val="362F3D70"/>
    <w:rsid w:val="362F4E47"/>
    <w:rsid w:val="363A2FF8"/>
    <w:rsid w:val="363C3EC8"/>
    <w:rsid w:val="364610BA"/>
    <w:rsid w:val="3647449F"/>
    <w:rsid w:val="36527438"/>
    <w:rsid w:val="366A5880"/>
    <w:rsid w:val="366F6862"/>
    <w:rsid w:val="3671072D"/>
    <w:rsid w:val="36714388"/>
    <w:rsid w:val="36733E44"/>
    <w:rsid w:val="367C4ADB"/>
    <w:rsid w:val="368815AE"/>
    <w:rsid w:val="3688440F"/>
    <w:rsid w:val="368C11C2"/>
    <w:rsid w:val="369844EE"/>
    <w:rsid w:val="369E4A52"/>
    <w:rsid w:val="36AC53C0"/>
    <w:rsid w:val="36B31447"/>
    <w:rsid w:val="36CC5FB8"/>
    <w:rsid w:val="36CD23AD"/>
    <w:rsid w:val="36CF1A51"/>
    <w:rsid w:val="36DE1936"/>
    <w:rsid w:val="36EE513D"/>
    <w:rsid w:val="36F30D41"/>
    <w:rsid w:val="36F53990"/>
    <w:rsid w:val="36F6663C"/>
    <w:rsid w:val="36F7087E"/>
    <w:rsid w:val="36FE42F6"/>
    <w:rsid w:val="3701395E"/>
    <w:rsid w:val="37040234"/>
    <w:rsid w:val="37060F75"/>
    <w:rsid w:val="370C40B1"/>
    <w:rsid w:val="370C793B"/>
    <w:rsid w:val="370F1A2C"/>
    <w:rsid w:val="370F76FD"/>
    <w:rsid w:val="37117919"/>
    <w:rsid w:val="3713391C"/>
    <w:rsid w:val="37166ACD"/>
    <w:rsid w:val="371B682F"/>
    <w:rsid w:val="371F7479"/>
    <w:rsid w:val="37436B38"/>
    <w:rsid w:val="374575B6"/>
    <w:rsid w:val="375872F6"/>
    <w:rsid w:val="375D490D"/>
    <w:rsid w:val="37677539"/>
    <w:rsid w:val="376D1723"/>
    <w:rsid w:val="377472E9"/>
    <w:rsid w:val="37910ACA"/>
    <w:rsid w:val="37932094"/>
    <w:rsid w:val="379540A7"/>
    <w:rsid w:val="379C3A2E"/>
    <w:rsid w:val="37A11689"/>
    <w:rsid w:val="37A4253C"/>
    <w:rsid w:val="37A91F9C"/>
    <w:rsid w:val="37AE5168"/>
    <w:rsid w:val="37BD30D3"/>
    <w:rsid w:val="37C4070F"/>
    <w:rsid w:val="37CD1A92"/>
    <w:rsid w:val="37CF580A"/>
    <w:rsid w:val="37D53E8C"/>
    <w:rsid w:val="37DB1668"/>
    <w:rsid w:val="37DC3A83"/>
    <w:rsid w:val="37DF79FC"/>
    <w:rsid w:val="37E46561"/>
    <w:rsid w:val="37E746DD"/>
    <w:rsid w:val="37FA215C"/>
    <w:rsid w:val="380A1551"/>
    <w:rsid w:val="381330AE"/>
    <w:rsid w:val="38167C5A"/>
    <w:rsid w:val="38227035"/>
    <w:rsid w:val="38267BEF"/>
    <w:rsid w:val="38297F3C"/>
    <w:rsid w:val="382C078C"/>
    <w:rsid w:val="3837515E"/>
    <w:rsid w:val="38376F0C"/>
    <w:rsid w:val="383C5BE5"/>
    <w:rsid w:val="38473550"/>
    <w:rsid w:val="384904F0"/>
    <w:rsid w:val="38545D10"/>
    <w:rsid w:val="38563E07"/>
    <w:rsid w:val="38587E1D"/>
    <w:rsid w:val="386274E7"/>
    <w:rsid w:val="38665C5A"/>
    <w:rsid w:val="386B071D"/>
    <w:rsid w:val="3870241E"/>
    <w:rsid w:val="387D2051"/>
    <w:rsid w:val="388303A3"/>
    <w:rsid w:val="38876AD2"/>
    <w:rsid w:val="388A34DF"/>
    <w:rsid w:val="388F4FD2"/>
    <w:rsid w:val="38910D12"/>
    <w:rsid w:val="38955B20"/>
    <w:rsid w:val="38975BFC"/>
    <w:rsid w:val="38997BC6"/>
    <w:rsid w:val="389B5AE8"/>
    <w:rsid w:val="389E5BD2"/>
    <w:rsid w:val="389E689B"/>
    <w:rsid w:val="389F182F"/>
    <w:rsid w:val="38A00F55"/>
    <w:rsid w:val="38A5656B"/>
    <w:rsid w:val="38AC2BDF"/>
    <w:rsid w:val="38B05FC3"/>
    <w:rsid w:val="38BB4F18"/>
    <w:rsid w:val="38C073F1"/>
    <w:rsid w:val="38D46E50"/>
    <w:rsid w:val="38E374B8"/>
    <w:rsid w:val="38EA0422"/>
    <w:rsid w:val="38EA6674"/>
    <w:rsid w:val="38FB37D1"/>
    <w:rsid w:val="38FD1F03"/>
    <w:rsid w:val="38FF3BA7"/>
    <w:rsid w:val="39186D3D"/>
    <w:rsid w:val="3929250D"/>
    <w:rsid w:val="392B0CC6"/>
    <w:rsid w:val="39440A0C"/>
    <w:rsid w:val="394C61AF"/>
    <w:rsid w:val="394E7D2C"/>
    <w:rsid w:val="395308C8"/>
    <w:rsid w:val="39547F86"/>
    <w:rsid w:val="3971644D"/>
    <w:rsid w:val="3972239A"/>
    <w:rsid w:val="398445DD"/>
    <w:rsid w:val="398A4D94"/>
    <w:rsid w:val="398C3287"/>
    <w:rsid w:val="398D5036"/>
    <w:rsid w:val="399529A5"/>
    <w:rsid w:val="39AD1B7B"/>
    <w:rsid w:val="39BF365D"/>
    <w:rsid w:val="39C96289"/>
    <w:rsid w:val="39CC499F"/>
    <w:rsid w:val="39CF74E3"/>
    <w:rsid w:val="39D72754"/>
    <w:rsid w:val="39DA2245"/>
    <w:rsid w:val="39DF4537"/>
    <w:rsid w:val="39E7260B"/>
    <w:rsid w:val="39EC4676"/>
    <w:rsid w:val="39F10194"/>
    <w:rsid w:val="39FF3A59"/>
    <w:rsid w:val="3A0D43C8"/>
    <w:rsid w:val="3A15327D"/>
    <w:rsid w:val="3A17559C"/>
    <w:rsid w:val="3A1A0893"/>
    <w:rsid w:val="3A1A731C"/>
    <w:rsid w:val="3A2160C5"/>
    <w:rsid w:val="3A255D96"/>
    <w:rsid w:val="3A4F49E1"/>
    <w:rsid w:val="3A5C61B1"/>
    <w:rsid w:val="3A60711D"/>
    <w:rsid w:val="3A63335F"/>
    <w:rsid w:val="3A7A6AB6"/>
    <w:rsid w:val="3A8A3C6B"/>
    <w:rsid w:val="3A8A705E"/>
    <w:rsid w:val="3A9B7363"/>
    <w:rsid w:val="3AA10350"/>
    <w:rsid w:val="3AAB5297"/>
    <w:rsid w:val="3AAF547F"/>
    <w:rsid w:val="3AB561B3"/>
    <w:rsid w:val="3ABE0D51"/>
    <w:rsid w:val="3ACA22B9"/>
    <w:rsid w:val="3ACA4067"/>
    <w:rsid w:val="3AD112E2"/>
    <w:rsid w:val="3AD671AE"/>
    <w:rsid w:val="3AD924FC"/>
    <w:rsid w:val="3ADE5D64"/>
    <w:rsid w:val="3AE11A8E"/>
    <w:rsid w:val="3AF42390"/>
    <w:rsid w:val="3AFB2473"/>
    <w:rsid w:val="3AFD268F"/>
    <w:rsid w:val="3B057795"/>
    <w:rsid w:val="3B0F23C2"/>
    <w:rsid w:val="3B117EE8"/>
    <w:rsid w:val="3B120246"/>
    <w:rsid w:val="3B133C60"/>
    <w:rsid w:val="3B145091"/>
    <w:rsid w:val="3B181276"/>
    <w:rsid w:val="3B185BA4"/>
    <w:rsid w:val="3B2A3D28"/>
    <w:rsid w:val="3B4569D6"/>
    <w:rsid w:val="3B4651C0"/>
    <w:rsid w:val="3B511807"/>
    <w:rsid w:val="3B726878"/>
    <w:rsid w:val="3B734232"/>
    <w:rsid w:val="3B7A3CDF"/>
    <w:rsid w:val="3B820DE6"/>
    <w:rsid w:val="3B890B2F"/>
    <w:rsid w:val="3B892174"/>
    <w:rsid w:val="3B8B1258"/>
    <w:rsid w:val="3B981668"/>
    <w:rsid w:val="3BA0301A"/>
    <w:rsid w:val="3BA707EB"/>
    <w:rsid w:val="3BB523A3"/>
    <w:rsid w:val="3BC26805"/>
    <w:rsid w:val="3BCD02B3"/>
    <w:rsid w:val="3BD238CE"/>
    <w:rsid w:val="3BD37C50"/>
    <w:rsid w:val="3BD76F29"/>
    <w:rsid w:val="3BDA234D"/>
    <w:rsid w:val="3BE60C08"/>
    <w:rsid w:val="3BE9345E"/>
    <w:rsid w:val="3BF56584"/>
    <w:rsid w:val="3BF70E8C"/>
    <w:rsid w:val="3BFD046C"/>
    <w:rsid w:val="3C0147DC"/>
    <w:rsid w:val="3C0B390A"/>
    <w:rsid w:val="3C0C30FD"/>
    <w:rsid w:val="3C106A29"/>
    <w:rsid w:val="3C131A3E"/>
    <w:rsid w:val="3C157564"/>
    <w:rsid w:val="3C1C4D96"/>
    <w:rsid w:val="3C237B15"/>
    <w:rsid w:val="3C277297"/>
    <w:rsid w:val="3C290172"/>
    <w:rsid w:val="3C320116"/>
    <w:rsid w:val="3C327CB2"/>
    <w:rsid w:val="3C430575"/>
    <w:rsid w:val="3C485B8B"/>
    <w:rsid w:val="3C502C92"/>
    <w:rsid w:val="3C544530"/>
    <w:rsid w:val="3C582B1B"/>
    <w:rsid w:val="3C616C4D"/>
    <w:rsid w:val="3C634773"/>
    <w:rsid w:val="3C65673D"/>
    <w:rsid w:val="3C740F54"/>
    <w:rsid w:val="3C795D45"/>
    <w:rsid w:val="3C81109D"/>
    <w:rsid w:val="3C8C7162"/>
    <w:rsid w:val="3C8D5D7E"/>
    <w:rsid w:val="3C8F03E6"/>
    <w:rsid w:val="3C90264F"/>
    <w:rsid w:val="3C964B49"/>
    <w:rsid w:val="3CAB184A"/>
    <w:rsid w:val="3CBA0F6A"/>
    <w:rsid w:val="3CC03974"/>
    <w:rsid w:val="3CC1149A"/>
    <w:rsid w:val="3CC50F8A"/>
    <w:rsid w:val="3CC57F97"/>
    <w:rsid w:val="3CCA65A0"/>
    <w:rsid w:val="3CD411CD"/>
    <w:rsid w:val="3CD64F45"/>
    <w:rsid w:val="3CDC3B57"/>
    <w:rsid w:val="3CDC4526"/>
    <w:rsid w:val="3CDD5108"/>
    <w:rsid w:val="3CDF44B4"/>
    <w:rsid w:val="3CE8383B"/>
    <w:rsid w:val="3CF25AF7"/>
    <w:rsid w:val="3CF33D49"/>
    <w:rsid w:val="3CF50881"/>
    <w:rsid w:val="3CF76444"/>
    <w:rsid w:val="3CF950D8"/>
    <w:rsid w:val="3CFE26EE"/>
    <w:rsid w:val="3D0C3D8A"/>
    <w:rsid w:val="3D0D109B"/>
    <w:rsid w:val="3D141F11"/>
    <w:rsid w:val="3D204412"/>
    <w:rsid w:val="3D207183"/>
    <w:rsid w:val="3D211F38"/>
    <w:rsid w:val="3D2F3868"/>
    <w:rsid w:val="3D3A7C09"/>
    <w:rsid w:val="3D475280"/>
    <w:rsid w:val="3D581DFE"/>
    <w:rsid w:val="3D5C6822"/>
    <w:rsid w:val="3D6469F5"/>
    <w:rsid w:val="3D66668C"/>
    <w:rsid w:val="3D671B51"/>
    <w:rsid w:val="3D6D5435"/>
    <w:rsid w:val="3D6F7148"/>
    <w:rsid w:val="3D7B053E"/>
    <w:rsid w:val="3D89020A"/>
    <w:rsid w:val="3D94095C"/>
    <w:rsid w:val="3D967CC7"/>
    <w:rsid w:val="3D9A2417"/>
    <w:rsid w:val="3D9B43D7"/>
    <w:rsid w:val="3DA417FD"/>
    <w:rsid w:val="3DA6741F"/>
    <w:rsid w:val="3DB03E61"/>
    <w:rsid w:val="3DB263EE"/>
    <w:rsid w:val="3DB61817"/>
    <w:rsid w:val="3DC17498"/>
    <w:rsid w:val="3DC456E6"/>
    <w:rsid w:val="3DC93D93"/>
    <w:rsid w:val="3DDF6425"/>
    <w:rsid w:val="3DE40EEF"/>
    <w:rsid w:val="3DE43692"/>
    <w:rsid w:val="3DE73182"/>
    <w:rsid w:val="3DE74F30"/>
    <w:rsid w:val="3DE85D9F"/>
    <w:rsid w:val="3DF443E7"/>
    <w:rsid w:val="3DF71617"/>
    <w:rsid w:val="3DFD0F89"/>
    <w:rsid w:val="3E1A22A3"/>
    <w:rsid w:val="3E210442"/>
    <w:rsid w:val="3E247F32"/>
    <w:rsid w:val="3E2C3534"/>
    <w:rsid w:val="3E2D35F9"/>
    <w:rsid w:val="3E4660FB"/>
    <w:rsid w:val="3E657343"/>
    <w:rsid w:val="3E6B3DB3"/>
    <w:rsid w:val="3E704F26"/>
    <w:rsid w:val="3E7A108D"/>
    <w:rsid w:val="3E7D2B7B"/>
    <w:rsid w:val="3E8C2599"/>
    <w:rsid w:val="3E8D2BB0"/>
    <w:rsid w:val="3E8D3D29"/>
    <w:rsid w:val="3E8D5AD7"/>
    <w:rsid w:val="3E921340"/>
    <w:rsid w:val="3E952BDE"/>
    <w:rsid w:val="3E95498C"/>
    <w:rsid w:val="3E99615C"/>
    <w:rsid w:val="3EA370A9"/>
    <w:rsid w:val="3EA90437"/>
    <w:rsid w:val="3EAB09BD"/>
    <w:rsid w:val="3EAC3984"/>
    <w:rsid w:val="3EAD1CD6"/>
    <w:rsid w:val="3EAD617A"/>
    <w:rsid w:val="3EB75EC2"/>
    <w:rsid w:val="3EB832EC"/>
    <w:rsid w:val="3EC059AC"/>
    <w:rsid w:val="3ECD4747"/>
    <w:rsid w:val="3ED348D8"/>
    <w:rsid w:val="3EDE6422"/>
    <w:rsid w:val="3EE15E23"/>
    <w:rsid w:val="3EF23B8C"/>
    <w:rsid w:val="3EF35C41"/>
    <w:rsid w:val="3EFA058A"/>
    <w:rsid w:val="3F012166"/>
    <w:rsid w:val="3F035D9A"/>
    <w:rsid w:val="3F073ADC"/>
    <w:rsid w:val="3F116709"/>
    <w:rsid w:val="3F181CF7"/>
    <w:rsid w:val="3F1C6E5B"/>
    <w:rsid w:val="3F20684A"/>
    <w:rsid w:val="3F242089"/>
    <w:rsid w:val="3F2A1578"/>
    <w:rsid w:val="3F310488"/>
    <w:rsid w:val="3F32642F"/>
    <w:rsid w:val="3F361FA9"/>
    <w:rsid w:val="3F3E6DD5"/>
    <w:rsid w:val="3F487C50"/>
    <w:rsid w:val="3F4940F4"/>
    <w:rsid w:val="3F4F7D45"/>
    <w:rsid w:val="3F5322DD"/>
    <w:rsid w:val="3F532744"/>
    <w:rsid w:val="3F536D21"/>
    <w:rsid w:val="3F670293"/>
    <w:rsid w:val="3F676006"/>
    <w:rsid w:val="3F71635D"/>
    <w:rsid w:val="3F772067"/>
    <w:rsid w:val="3F870779"/>
    <w:rsid w:val="3F88332A"/>
    <w:rsid w:val="3F88629F"/>
    <w:rsid w:val="3F8C2486"/>
    <w:rsid w:val="3F8E0288"/>
    <w:rsid w:val="3F904799"/>
    <w:rsid w:val="3F9115F7"/>
    <w:rsid w:val="3F913EFC"/>
    <w:rsid w:val="3F9B4224"/>
    <w:rsid w:val="3F9D5E49"/>
    <w:rsid w:val="3F9E0A48"/>
    <w:rsid w:val="3F9F681A"/>
    <w:rsid w:val="3FA12D97"/>
    <w:rsid w:val="3FA4132B"/>
    <w:rsid w:val="3FA446DC"/>
    <w:rsid w:val="3FAFD16C"/>
    <w:rsid w:val="3FB05F21"/>
    <w:rsid w:val="3FB83028"/>
    <w:rsid w:val="3FBD783B"/>
    <w:rsid w:val="3FC574F3"/>
    <w:rsid w:val="3FC65745"/>
    <w:rsid w:val="3FD2104C"/>
    <w:rsid w:val="3FDC3209"/>
    <w:rsid w:val="3FDC7FBB"/>
    <w:rsid w:val="3FE56B17"/>
    <w:rsid w:val="3FE77469"/>
    <w:rsid w:val="3FED765C"/>
    <w:rsid w:val="3FEE07F8"/>
    <w:rsid w:val="3FF26D08"/>
    <w:rsid w:val="3FF34060"/>
    <w:rsid w:val="3FF83425"/>
    <w:rsid w:val="3FF94FE8"/>
    <w:rsid w:val="3FFA719D"/>
    <w:rsid w:val="3FFEDD49"/>
    <w:rsid w:val="3FFF4C2B"/>
    <w:rsid w:val="40104C12"/>
    <w:rsid w:val="401B7113"/>
    <w:rsid w:val="40244528"/>
    <w:rsid w:val="40366650"/>
    <w:rsid w:val="403839DE"/>
    <w:rsid w:val="403A5BCE"/>
    <w:rsid w:val="403C7C7B"/>
    <w:rsid w:val="403F1D8A"/>
    <w:rsid w:val="40440B6D"/>
    <w:rsid w:val="4044666A"/>
    <w:rsid w:val="40466886"/>
    <w:rsid w:val="40507C67"/>
    <w:rsid w:val="405E3AA6"/>
    <w:rsid w:val="406C796F"/>
    <w:rsid w:val="406D5BC1"/>
    <w:rsid w:val="40721429"/>
    <w:rsid w:val="40793ED9"/>
    <w:rsid w:val="407F12CE"/>
    <w:rsid w:val="40892030"/>
    <w:rsid w:val="408D5AEF"/>
    <w:rsid w:val="408E7DA0"/>
    <w:rsid w:val="40920761"/>
    <w:rsid w:val="40990401"/>
    <w:rsid w:val="409977D1"/>
    <w:rsid w:val="409B5B9B"/>
    <w:rsid w:val="409C0254"/>
    <w:rsid w:val="409C25B3"/>
    <w:rsid w:val="40AA5D17"/>
    <w:rsid w:val="40AF13FE"/>
    <w:rsid w:val="40AF1B5F"/>
    <w:rsid w:val="40B01F51"/>
    <w:rsid w:val="40B30957"/>
    <w:rsid w:val="40B46CBF"/>
    <w:rsid w:val="40BB23CF"/>
    <w:rsid w:val="40BE01CA"/>
    <w:rsid w:val="40C75166"/>
    <w:rsid w:val="40CA2491"/>
    <w:rsid w:val="40CF0629"/>
    <w:rsid w:val="40D3090A"/>
    <w:rsid w:val="40E478F1"/>
    <w:rsid w:val="40E65973"/>
    <w:rsid w:val="40EE720E"/>
    <w:rsid w:val="40F40564"/>
    <w:rsid w:val="40F41DF1"/>
    <w:rsid w:val="40F55BB6"/>
    <w:rsid w:val="40FC6F44"/>
    <w:rsid w:val="40FE4A6B"/>
    <w:rsid w:val="41006A35"/>
    <w:rsid w:val="41017F9D"/>
    <w:rsid w:val="4119017F"/>
    <w:rsid w:val="411B5612"/>
    <w:rsid w:val="411E510D"/>
    <w:rsid w:val="412070D7"/>
    <w:rsid w:val="412C5A7C"/>
    <w:rsid w:val="41326E0A"/>
    <w:rsid w:val="41364944"/>
    <w:rsid w:val="414032D5"/>
    <w:rsid w:val="41434B73"/>
    <w:rsid w:val="414B6B2E"/>
    <w:rsid w:val="414D77A0"/>
    <w:rsid w:val="415524F4"/>
    <w:rsid w:val="415C41CD"/>
    <w:rsid w:val="41662610"/>
    <w:rsid w:val="416A4524"/>
    <w:rsid w:val="416D2A67"/>
    <w:rsid w:val="4181131A"/>
    <w:rsid w:val="41847666"/>
    <w:rsid w:val="41870022"/>
    <w:rsid w:val="41874A60"/>
    <w:rsid w:val="418C2076"/>
    <w:rsid w:val="418E1CF1"/>
    <w:rsid w:val="41A42477"/>
    <w:rsid w:val="41A74CD7"/>
    <w:rsid w:val="41AC096A"/>
    <w:rsid w:val="41B20FEA"/>
    <w:rsid w:val="41BA3831"/>
    <w:rsid w:val="41CC4B69"/>
    <w:rsid w:val="41CF6407"/>
    <w:rsid w:val="41E73751"/>
    <w:rsid w:val="41E92964"/>
    <w:rsid w:val="41E96268"/>
    <w:rsid w:val="41EE4ADF"/>
    <w:rsid w:val="41F04F82"/>
    <w:rsid w:val="41F50173"/>
    <w:rsid w:val="41FD2F74"/>
    <w:rsid w:val="420155EB"/>
    <w:rsid w:val="420B38E3"/>
    <w:rsid w:val="42130608"/>
    <w:rsid w:val="4214405D"/>
    <w:rsid w:val="421559BB"/>
    <w:rsid w:val="42167715"/>
    <w:rsid w:val="421B691A"/>
    <w:rsid w:val="42251BA5"/>
    <w:rsid w:val="422B5D33"/>
    <w:rsid w:val="423B6F55"/>
    <w:rsid w:val="42436F6E"/>
    <w:rsid w:val="424A76F1"/>
    <w:rsid w:val="424E1FB3"/>
    <w:rsid w:val="4250579A"/>
    <w:rsid w:val="425D2B3C"/>
    <w:rsid w:val="425F6C5E"/>
    <w:rsid w:val="42640D16"/>
    <w:rsid w:val="42662FB4"/>
    <w:rsid w:val="427C033D"/>
    <w:rsid w:val="428579D8"/>
    <w:rsid w:val="4286095C"/>
    <w:rsid w:val="4286519A"/>
    <w:rsid w:val="42880EAC"/>
    <w:rsid w:val="42970A2C"/>
    <w:rsid w:val="429F1414"/>
    <w:rsid w:val="42A653BA"/>
    <w:rsid w:val="42B50F19"/>
    <w:rsid w:val="42C10446"/>
    <w:rsid w:val="42C57A53"/>
    <w:rsid w:val="42C608A9"/>
    <w:rsid w:val="42CC1FB4"/>
    <w:rsid w:val="42DF534A"/>
    <w:rsid w:val="42E35B70"/>
    <w:rsid w:val="42EC14E8"/>
    <w:rsid w:val="42F7137F"/>
    <w:rsid w:val="42F74744"/>
    <w:rsid w:val="42FF2D1C"/>
    <w:rsid w:val="430B741B"/>
    <w:rsid w:val="43122A4F"/>
    <w:rsid w:val="431E4E21"/>
    <w:rsid w:val="43291B47"/>
    <w:rsid w:val="432B2B89"/>
    <w:rsid w:val="432F53AF"/>
    <w:rsid w:val="433024BD"/>
    <w:rsid w:val="43441126"/>
    <w:rsid w:val="43675C10"/>
    <w:rsid w:val="436D5ED7"/>
    <w:rsid w:val="437203C1"/>
    <w:rsid w:val="43722F19"/>
    <w:rsid w:val="43730982"/>
    <w:rsid w:val="43770B04"/>
    <w:rsid w:val="43836937"/>
    <w:rsid w:val="4385592A"/>
    <w:rsid w:val="438E11C7"/>
    <w:rsid w:val="438F117D"/>
    <w:rsid w:val="43912E12"/>
    <w:rsid w:val="43967063"/>
    <w:rsid w:val="439F55C2"/>
    <w:rsid w:val="43A51687"/>
    <w:rsid w:val="43A7763B"/>
    <w:rsid w:val="43AC633C"/>
    <w:rsid w:val="43B109C9"/>
    <w:rsid w:val="43B17479"/>
    <w:rsid w:val="43B6072B"/>
    <w:rsid w:val="43B86640"/>
    <w:rsid w:val="43BC75C6"/>
    <w:rsid w:val="43BE5738"/>
    <w:rsid w:val="43DB5537"/>
    <w:rsid w:val="43E070F7"/>
    <w:rsid w:val="43E443EC"/>
    <w:rsid w:val="43E57155"/>
    <w:rsid w:val="43EC1527"/>
    <w:rsid w:val="43FB078D"/>
    <w:rsid w:val="43FC3972"/>
    <w:rsid w:val="44010656"/>
    <w:rsid w:val="44022AC4"/>
    <w:rsid w:val="44056110"/>
    <w:rsid w:val="440F6F8F"/>
    <w:rsid w:val="44166909"/>
    <w:rsid w:val="441E1676"/>
    <w:rsid w:val="44242A3A"/>
    <w:rsid w:val="442A5F64"/>
    <w:rsid w:val="442C5D93"/>
    <w:rsid w:val="44337121"/>
    <w:rsid w:val="44376755"/>
    <w:rsid w:val="443B5FD6"/>
    <w:rsid w:val="444045B7"/>
    <w:rsid w:val="4449279A"/>
    <w:rsid w:val="4455528C"/>
    <w:rsid w:val="445A288A"/>
    <w:rsid w:val="445A79C4"/>
    <w:rsid w:val="4466208A"/>
    <w:rsid w:val="446A2417"/>
    <w:rsid w:val="44722751"/>
    <w:rsid w:val="44784C6C"/>
    <w:rsid w:val="447B0631"/>
    <w:rsid w:val="44801C3A"/>
    <w:rsid w:val="44817E8C"/>
    <w:rsid w:val="448434D9"/>
    <w:rsid w:val="448E6105"/>
    <w:rsid w:val="448F119D"/>
    <w:rsid w:val="44A43B7B"/>
    <w:rsid w:val="44AE67A8"/>
    <w:rsid w:val="44B15343"/>
    <w:rsid w:val="44C02D54"/>
    <w:rsid w:val="44D73727"/>
    <w:rsid w:val="44D83825"/>
    <w:rsid w:val="44DB384C"/>
    <w:rsid w:val="44DC4738"/>
    <w:rsid w:val="44E641B4"/>
    <w:rsid w:val="44F37464"/>
    <w:rsid w:val="45121946"/>
    <w:rsid w:val="45254F4C"/>
    <w:rsid w:val="452A0524"/>
    <w:rsid w:val="452F5D52"/>
    <w:rsid w:val="45340C06"/>
    <w:rsid w:val="45356844"/>
    <w:rsid w:val="453749EF"/>
    <w:rsid w:val="453A3978"/>
    <w:rsid w:val="455D6468"/>
    <w:rsid w:val="4565249C"/>
    <w:rsid w:val="456A6B72"/>
    <w:rsid w:val="45703A5D"/>
    <w:rsid w:val="45733B31"/>
    <w:rsid w:val="4574077E"/>
    <w:rsid w:val="45884CAE"/>
    <w:rsid w:val="45972BF0"/>
    <w:rsid w:val="4597548E"/>
    <w:rsid w:val="45991206"/>
    <w:rsid w:val="45992FB4"/>
    <w:rsid w:val="459C40E5"/>
    <w:rsid w:val="45A51959"/>
    <w:rsid w:val="45A9646C"/>
    <w:rsid w:val="45AA51C1"/>
    <w:rsid w:val="45AC7DA0"/>
    <w:rsid w:val="45AF5174"/>
    <w:rsid w:val="45CF2E79"/>
    <w:rsid w:val="45D43FEC"/>
    <w:rsid w:val="45D556D9"/>
    <w:rsid w:val="45D65FB6"/>
    <w:rsid w:val="45D67EF8"/>
    <w:rsid w:val="45E01D88"/>
    <w:rsid w:val="45EB0D2B"/>
    <w:rsid w:val="46036CA3"/>
    <w:rsid w:val="46040D75"/>
    <w:rsid w:val="46073B2F"/>
    <w:rsid w:val="46296B09"/>
    <w:rsid w:val="463158E2"/>
    <w:rsid w:val="46362EF9"/>
    <w:rsid w:val="463D1F4F"/>
    <w:rsid w:val="46442E1E"/>
    <w:rsid w:val="464B294F"/>
    <w:rsid w:val="464E2871"/>
    <w:rsid w:val="46511AE0"/>
    <w:rsid w:val="465D2233"/>
    <w:rsid w:val="46601D24"/>
    <w:rsid w:val="4661754A"/>
    <w:rsid w:val="46680171"/>
    <w:rsid w:val="466F1F67"/>
    <w:rsid w:val="4670545E"/>
    <w:rsid w:val="467D28D5"/>
    <w:rsid w:val="46825EE5"/>
    <w:rsid w:val="46883840"/>
    <w:rsid w:val="468E063F"/>
    <w:rsid w:val="469043B7"/>
    <w:rsid w:val="46971BE9"/>
    <w:rsid w:val="469E60A1"/>
    <w:rsid w:val="46A3401E"/>
    <w:rsid w:val="46A3784C"/>
    <w:rsid w:val="46AA3DCD"/>
    <w:rsid w:val="46AC6D17"/>
    <w:rsid w:val="46B53E1D"/>
    <w:rsid w:val="46BD2949"/>
    <w:rsid w:val="46C047CA"/>
    <w:rsid w:val="46C978C9"/>
    <w:rsid w:val="46DF689F"/>
    <w:rsid w:val="46E84313"/>
    <w:rsid w:val="46EC35B7"/>
    <w:rsid w:val="46FA23B5"/>
    <w:rsid w:val="46FB5ED4"/>
    <w:rsid w:val="46FE0D29"/>
    <w:rsid w:val="4700217B"/>
    <w:rsid w:val="4705716F"/>
    <w:rsid w:val="47083529"/>
    <w:rsid w:val="47094169"/>
    <w:rsid w:val="471054F8"/>
    <w:rsid w:val="471274C2"/>
    <w:rsid w:val="47153A88"/>
    <w:rsid w:val="471558CA"/>
    <w:rsid w:val="47163A10"/>
    <w:rsid w:val="47193B9F"/>
    <w:rsid w:val="47237D12"/>
    <w:rsid w:val="47262CD6"/>
    <w:rsid w:val="472B40E0"/>
    <w:rsid w:val="472C3D19"/>
    <w:rsid w:val="47370207"/>
    <w:rsid w:val="473A125A"/>
    <w:rsid w:val="473E7968"/>
    <w:rsid w:val="474F3417"/>
    <w:rsid w:val="475710B6"/>
    <w:rsid w:val="475C4C5A"/>
    <w:rsid w:val="476D6E85"/>
    <w:rsid w:val="476E221E"/>
    <w:rsid w:val="476F66C2"/>
    <w:rsid w:val="476F6D68"/>
    <w:rsid w:val="47707F17"/>
    <w:rsid w:val="47764977"/>
    <w:rsid w:val="47766E67"/>
    <w:rsid w:val="47767A51"/>
    <w:rsid w:val="47875E2B"/>
    <w:rsid w:val="47885EFA"/>
    <w:rsid w:val="47952AF8"/>
    <w:rsid w:val="47A82838"/>
    <w:rsid w:val="47A90057"/>
    <w:rsid w:val="47AB6C3D"/>
    <w:rsid w:val="47B65536"/>
    <w:rsid w:val="47B95B8F"/>
    <w:rsid w:val="47C87B80"/>
    <w:rsid w:val="47CE1987"/>
    <w:rsid w:val="47D04FE5"/>
    <w:rsid w:val="47D56F41"/>
    <w:rsid w:val="47D811D8"/>
    <w:rsid w:val="47E0136E"/>
    <w:rsid w:val="47F77B88"/>
    <w:rsid w:val="47F90E64"/>
    <w:rsid w:val="481E41DD"/>
    <w:rsid w:val="48301FE8"/>
    <w:rsid w:val="48310E04"/>
    <w:rsid w:val="48392779"/>
    <w:rsid w:val="4843355C"/>
    <w:rsid w:val="4846488D"/>
    <w:rsid w:val="48474F49"/>
    <w:rsid w:val="48561630"/>
    <w:rsid w:val="48580F04"/>
    <w:rsid w:val="48582BA9"/>
    <w:rsid w:val="48585171"/>
    <w:rsid w:val="485B26A4"/>
    <w:rsid w:val="48621D83"/>
    <w:rsid w:val="48651A62"/>
    <w:rsid w:val="48651EA5"/>
    <w:rsid w:val="48661D10"/>
    <w:rsid w:val="48696D7A"/>
    <w:rsid w:val="486A0C38"/>
    <w:rsid w:val="487209AE"/>
    <w:rsid w:val="48737B9C"/>
    <w:rsid w:val="48741AB6"/>
    <w:rsid w:val="48770888"/>
    <w:rsid w:val="489134A1"/>
    <w:rsid w:val="489177E2"/>
    <w:rsid w:val="48A00EA8"/>
    <w:rsid w:val="48A278A6"/>
    <w:rsid w:val="48A51C70"/>
    <w:rsid w:val="48AB197C"/>
    <w:rsid w:val="48B2461A"/>
    <w:rsid w:val="48BB493A"/>
    <w:rsid w:val="48CA0BBB"/>
    <w:rsid w:val="48D12A65"/>
    <w:rsid w:val="48DC621A"/>
    <w:rsid w:val="48E95192"/>
    <w:rsid w:val="48EC3D42"/>
    <w:rsid w:val="48F055E1"/>
    <w:rsid w:val="48F34034"/>
    <w:rsid w:val="48FA020D"/>
    <w:rsid w:val="48FA1FBB"/>
    <w:rsid w:val="48FD7CFE"/>
    <w:rsid w:val="48FF6B87"/>
    <w:rsid w:val="4900334A"/>
    <w:rsid w:val="490177EE"/>
    <w:rsid w:val="490F5EC0"/>
    <w:rsid w:val="49121A25"/>
    <w:rsid w:val="4925762B"/>
    <w:rsid w:val="49314AE6"/>
    <w:rsid w:val="493D00FA"/>
    <w:rsid w:val="493E459E"/>
    <w:rsid w:val="495514C0"/>
    <w:rsid w:val="49585047"/>
    <w:rsid w:val="495B14E2"/>
    <w:rsid w:val="495C0C56"/>
    <w:rsid w:val="4961276A"/>
    <w:rsid w:val="49623604"/>
    <w:rsid w:val="496259D1"/>
    <w:rsid w:val="496531F5"/>
    <w:rsid w:val="49690EEF"/>
    <w:rsid w:val="49764BB3"/>
    <w:rsid w:val="497661D4"/>
    <w:rsid w:val="49794B2E"/>
    <w:rsid w:val="49847F18"/>
    <w:rsid w:val="49883A6B"/>
    <w:rsid w:val="498C6389"/>
    <w:rsid w:val="499211EB"/>
    <w:rsid w:val="499F0DB5"/>
    <w:rsid w:val="49A11BE2"/>
    <w:rsid w:val="49A85EBB"/>
    <w:rsid w:val="49B20AE8"/>
    <w:rsid w:val="49BF4FB3"/>
    <w:rsid w:val="49BF6D61"/>
    <w:rsid w:val="49C1204C"/>
    <w:rsid w:val="49C37385"/>
    <w:rsid w:val="49D45120"/>
    <w:rsid w:val="49D72121"/>
    <w:rsid w:val="49D93B4E"/>
    <w:rsid w:val="49E33459"/>
    <w:rsid w:val="49E656E9"/>
    <w:rsid w:val="49EC1F73"/>
    <w:rsid w:val="49F42EAF"/>
    <w:rsid w:val="49F70BF1"/>
    <w:rsid w:val="49F75AE8"/>
    <w:rsid w:val="49FB2514"/>
    <w:rsid w:val="4A176B9D"/>
    <w:rsid w:val="4A1946C3"/>
    <w:rsid w:val="4A1B1FC0"/>
    <w:rsid w:val="4A2B5A7A"/>
    <w:rsid w:val="4A310AD8"/>
    <w:rsid w:val="4A355EFF"/>
    <w:rsid w:val="4A37282C"/>
    <w:rsid w:val="4A3876E1"/>
    <w:rsid w:val="4A392FB7"/>
    <w:rsid w:val="4A3B18B6"/>
    <w:rsid w:val="4A3F5EBF"/>
    <w:rsid w:val="4A433504"/>
    <w:rsid w:val="4A4607B6"/>
    <w:rsid w:val="4A484FA8"/>
    <w:rsid w:val="4A617E1F"/>
    <w:rsid w:val="4A6873F9"/>
    <w:rsid w:val="4A6BC564"/>
    <w:rsid w:val="4A7C5F1F"/>
    <w:rsid w:val="4A7E5139"/>
    <w:rsid w:val="4A830E92"/>
    <w:rsid w:val="4A895743"/>
    <w:rsid w:val="4A981A8C"/>
    <w:rsid w:val="4A9E2E1A"/>
    <w:rsid w:val="4AA03D3C"/>
    <w:rsid w:val="4AA12843"/>
    <w:rsid w:val="4AA625FC"/>
    <w:rsid w:val="4AAC37D1"/>
    <w:rsid w:val="4AC10039"/>
    <w:rsid w:val="4ACC5BD9"/>
    <w:rsid w:val="4ADC327B"/>
    <w:rsid w:val="4AF55130"/>
    <w:rsid w:val="4AF80431"/>
    <w:rsid w:val="4B03206F"/>
    <w:rsid w:val="4B0940DB"/>
    <w:rsid w:val="4B11183E"/>
    <w:rsid w:val="4B35552D"/>
    <w:rsid w:val="4B3A1CEA"/>
    <w:rsid w:val="4B412124"/>
    <w:rsid w:val="4B46400B"/>
    <w:rsid w:val="4B48047A"/>
    <w:rsid w:val="4B4B7D5C"/>
    <w:rsid w:val="4B4E2A92"/>
    <w:rsid w:val="4B4E4840"/>
    <w:rsid w:val="4B5005B9"/>
    <w:rsid w:val="4B517E8D"/>
    <w:rsid w:val="4B6360C2"/>
    <w:rsid w:val="4B647BC0"/>
    <w:rsid w:val="4B7047B7"/>
    <w:rsid w:val="4B7A7FCA"/>
    <w:rsid w:val="4B7B33FB"/>
    <w:rsid w:val="4B850656"/>
    <w:rsid w:val="4B871B00"/>
    <w:rsid w:val="4B897627"/>
    <w:rsid w:val="4B9D72F0"/>
    <w:rsid w:val="4BA206E8"/>
    <w:rsid w:val="4BA45BDF"/>
    <w:rsid w:val="4BA66610"/>
    <w:rsid w:val="4BA95F1B"/>
    <w:rsid w:val="4BAC7763"/>
    <w:rsid w:val="4BAD715A"/>
    <w:rsid w:val="4BB328F5"/>
    <w:rsid w:val="4BB90A10"/>
    <w:rsid w:val="4BBD43A6"/>
    <w:rsid w:val="4BBE31C1"/>
    <w:rsid w:val="4BCE5679"/>
    <w:rsid w:val="4BD25472"/>
    <w:rsid w:val="4BD72A88"/>
    <w:rsid w:val="4BD9235C"/>
    <w:rsid w:val="4BE17463"/>
    <w:rsid w:val="4BE40FA7"/>
    <w:rsid w:val="4BE942F2"/>
    <w:rsid w:val="4BF61160"/>
    <w:rsid w:val="4C0105CC"/>
    <w:rsid w:val="4C035AAC"/>
    <w:rsid w:val="4C0C42E9"/>
    <w:rsid w:val="4C215AB1"/>
    <w:rsid w:val="4C222982"/>
    <w:rsid w:val="4C2869FC"/>
    <w:rsid w:val="4C2A2BB8"/>
    <w:rsid w:val="4C304F2E"/>
    <w:rsid w:val="4C4874E2"/>
    <w:rsid w:val="4C4A325A"/>
    <w:rsid w:val="4C5640D3"/>
    <w:rsid w:val="4C5C5B9B"/>
    <w:rsid w:val="4C5E4E21"/>
    <w:rsid w:val="4C63431C"/>
    <w:rsid w:val="4C6B1B8E"/>
    <w:rsid w:val="4C6C1422"/>
    <w:rsid w:val="4C7E2F03"/>
    <w:rsid w:val="4C8C5620"/>
    <w:rsid w:val="4C926A2F"/>
    <w:rsid w:val="4C96006B"/>
    <w:rsid w:val="4C9D15DC"/>
    <w:rsid w:val="4CA0126D"/>
    <w:rsid w:val="4CA50490"/>
    <w:rsid w:val="4CA706AC"/>
    <w:rsid w:val="4CAE6DAA"/>
    <w:rsid w:val="4CAF57B3"/>
    <w:rsid w:val="4CB2313A"/>
    <w:rsid w:val="4CB47513"/>
    <w:rsid w:val="4CB701C3"/>
    <w:rsid w:val="4CCD426D"/>
    <w:rsid w:val="4CD34FFD"/>
    <w:rsid w:val="4CF43FCB"/>
    <w:rsid w:val="4D091920"/>
    <w:rsid w:val="4D0A53EF"/>
    <w:rsid w:val="4D0B243D"/>
    <w:rsid w:val="4D0D6132"/>
    <w:rsid w:val="4D115B26"/>
    <w:rsid w:val="4D183358"/>
    <w:rsid w:val="4D270EDE"/>
    <w:rsid w:val="4D2C295F"/>
    <w:rsid w:val="4D386F9E"/>
    <w:rsid w:val="4D426478"/>
    <w:rsid w:val="4D445EFB"/>
    <w:rsid w:val="4D4B1038"/>
    <w:rsid w:val="4D4D7DF7"/>
    <w:rsid w:val="4D5775BE"/>
    <w:rsid w:val="4D646208"/>
    <w:rsid w:val="4D6B16DA"/>
    <w:rsid w:val="4D754306"/>
    <w:rsid w:val="4D7F152E"/>
    <w:rsid w:val="4D810EFD"/>
    <w:rsid w:val="4D814A59"/>
    <w:rsid w:val="4D98532F"/>
    <w:rsid w:val="4D9C5088"/>
    <w:rsid w:val="4DA1334D"/>
    <w:rsid w:val="4DA2179A"/>
    <w:rsid w:val="4DB312BC"/>
    <w:rsid w:val="4DBE5CAD"/>
    <w:rsid w:val="4DC112FA"/>
    <w:rsid w:val="4DC33A3E"/>
    <w:rsid w:val="4DC808DA"/>
    <w:rsid w:val="4DD908F3"/>
    <w:rsid w:val="4DDC2D5F"/>
    <w:rsid w:val="4DDD665F"/>
    <w:rsid w:val="4DF07E31"/>
    <w:rsid w:val="4DF96CE5"/>
    <w:rsid w:val="4E070043"/>
    <w:rsid w:val="4E0C12BC"/>
    <w:rsid w:val="4E0E689A"/>
    <w:rsid w:val="4E136B26"/>
    <w:rsid w:val="4E1C29D4"/>
    <w:rsid w:val="4E223A1D"/>
    <w:rsid w:val="4E252782"/>
    <w:rsid w:val="4E292CD9"/>
    <w:rsid w:val="4E3246A1"/>
    <w:rsid w:val="4E332768"/>
    <w:rsid w:val="4E345F70"/>
    <w:rsid w:val="4E3E0B9C"/>
    <w:rsid w:val="4E451F2B"/>
    <w:rsid w:val="4E4A5793"/>
    <w:rsid w:val="4E4D4137"/>
    <w:rsid w:val="4E552AD9"/>
    <w:rsid w:val="4E557C04"/>
    <w:rsid w:val="4E5E123E"/>
    <w:rsid w:val="4E701377"/>
    <w:rsid w:val="4E7119B4"/>
    <w:rsid w:val="4E8C409F"/>
    <w:rsid w:val="4E9116B7"/>
    <w:rsid w:val="4E934CFE"/>
    <w:rsid w:val="4E937000"/>
    <w:rsid w:val="4E942070"/>
    <w:rsid w:val="4E9521EF"/>
    <w:rsid w:val="4E97419F"/>
    <w:rsid w:val="4E9A4960"/>
    <w:rsid w:val="4E9D1D67"/>
    <w:rsid w:val="4EA529C9"/>
    <w:rsid w:val="4EA57CFD"/>
    <w:rsid w:val="4EAA6232"/>
    <w:rsid w:val="4EAB1850"/>
    <w:rsid w:val="4EB1136E"/>
    <w:rsid w:val="4EBF6B30"/>
    <w:rsid w:val="4EC4361E"/>
    <w:rsid w:val="4ECF3EEA"/>
    <w:rsid w:val="4EE334F2"/>
    <w:rsid w:val="4EE74D90"/>
    <w:rsid w:val="4EEA4880"/>
    <w:rsid w:val="4EEF1E97"/>
    <w:rsid w:val="4EF35632"/>
    <w:rsid w:val="4F0A748E"/>
    <w:rsid w:val="4F0F42E7"/>
    <w:rsid w:val="4F140910"/>
    <w:rsid w:val="4F152C53"/>
    <w:rsid w:val="4F260AA2"/>
    <w:rsid w:val="4F2A1121"/>
    <w:rsid w:val="4F2C6C47"/>
    <w:rsid w:val="4F3D6F80"/>
    <w:rsid w:val="4F457D08"/>
    <w:rsid w:val="4F4A531F"/>
    <w:rsid w:val="4F4C1F1C"/>
    <w:rsid w:val="4F4D74C0"/>
    <w:rsid w:val="4F555F1E"/>
    <w:rsid w:val="4F58404B"/>
    <w:rsid w:val="4F5A1A06"/>
    <w:rsid w:val="4F604B42"/>
    <w:rsid w:val="4F7269EB"/>
    <w:rsid w:val="4F762E8E"/>
    <w:rsid w:val="4F79558D"/>
    <w:rsid w:val="4F7C5E20"/>
    <w:rsid w:val="4F824AB9"/>
    <w:rsid w:val="4F8545A9"/>
    <w:rsid w:val="4F8838BE"/>
    <w:rsid w:val="4F8C5937"/>
    <w:rsid w:val="4F8D181A"/>
    <w:rsid w:val="4F8F0E05"/>
    <w:rsid w:val="4F90367A"/>
    <w:rsid w:val="4F986314"/>
    <w:rsid w:val="4FA155CE"/>
    <w:rsid w:val="4FA233AD"/>
    <w:rsid w:val="4FA2570F"/>
    <w:rsid w:val="4FA537CF"/>
    <w:rsid w:val="4FB74D6D"/>
    <w:rsid w:val="4FB7735F"/>
    <w:rsid w:val="4FB81A94"/>
    <w:rsid w:val="4FCD4A23"/>
    <w:rsid w:val="4FCE5F50"/>
    <w:rsid w:val="4FDB0BF1"/>
    <w:rsid w:val="4FF8236C"/>
    <w:rsid w:val="50010EFC"/>
    <w:rsid w:val="50060351"/>
    <w:rsid w:val="500F31B8"/>
    <w:rsid w:val="5011123F"/>
    <w:rsid w:val="501222E0"/>
    <w:rsid w:val="501447C8"/>
    <w:rsid w:val="50233470"/>
    <w:rsid w:val="5028468C"/>
    <w:rsid w:val="50284EC1"/>
    <w:rsid w:val="502B287F"/>
    <w:rsid w:val="50334005"/>
    <w:rsid w:val="503404A9"/>
    <w:rsid w:val="50355FCF"/>
    <w:rsid w:val="50357D7D"/>
    <w:rsid w:val="503620FE"/>
    <w:rsid w:val="503C4FFC"/>
    <w:rsid w:val="503D154A"/>
    <w:rsid w:val="5043693E"/>
    <w:rsid w:val="504A7CCC"/>
    <w:rsid w:val="504C7C02"/>
    <w:rsid w:val="50510052"/>
    <w:rsid w:val="50633018"/>
    <w:rsid w:val="50700DB5"/>
    <w:rsid w:val="50776CD1"/>
    <w:rsid w:val="507F0FE6"/>
    <w:rsid w:val="50886420"/>
    <w:rsid w:val="508A00C9"/>
    <w:rsid w:val="508B44F9"/>
    <w:rsid w:val="508C47C1"/>
    <w:rsid w:val="50913EC5"/>
    <w:rsid w:val="509A6AC7"/>
    <w:rsid w:val="509C3C82"/>
    <w:rsid w:val="50A43B38"/>
    <w:rsid w:val="50A46653"/>
    <w:rsid w:val="50A562A4"/>
    <w:rsid w:val="50A56CB1"/>
    <w:rsid w:val="50AF14D1"/>
    <w:rsid w:val="50BE401B"/>
    <w:rsid w:val="50C308BA"/>
    <w:rsid w:val="50C335DB"/>
    <w:rsid w:val="50CD4459"/>
    <w:rsid w:val="50CE02F4"/>
    <w:rsid w:val="50CF669E"/>
    <w:rsid w:val="50EE71A7"/>
    <w:rsid w:val="50F1639A"/>
    <w:rsid w:val="50F1663F"/>
    <w:rsid w:val="50F32901"/>
    <w:rsid w:val="50F751E4"/>
    <w:rsid w:val="50F908FB"/>
    <w:rsid w:val="50FA4F04"/>
    <w:rsid w:val="5100482F"/>
    <w:rsid w:val="5103573A"/>
    <w:rsid w:val="5104586A"/>
    <w:rsid w:val="5105260E"/>
    <w:rsid w:val="510C6132"/>
    <w:rsid w:val="511107EA"/>
    <w:rsid w:val="51237B2B"/>
    <w:rsid w:val="51257DF2"/>
    <w:rsid w:val="51277EC3"/>
    <w:rsid w:val="512B2357"/>
    <w:rsid w:val="512B49D9"/>
    <w:rsid w:val="512C2F2E"/>
    <w:rsid w:val="512F21E2"/>
    <w:rsid w:val="51422B90"/>
    <w:rsid w:val="515006FB"/>
    <w:rsid w:val="51510BE7"/>
    <w:rsid w:val="515C6294"/>
    <w:rsid w:val="516C5A20"/>
    <w:rsid w:val="517C5AD7"/>
    <w:rsid w:val="517D0550"/>
    <w:rsid w:val="517D311D"/>
    <w:rsid w:val="51845A0B"/>
    <w:rsid w:val="518544EC"/>
    <w:rsid w:val="518562F5"/>
    <w:rsid w:val="5187285A"/>
    <w:rsid w:val="51885E49"/>
    <w:rsid w:val="518C7E71"/>
    <w:rsid w:val="51907961"/>
    <w:rsid w:val="519A39CC"/>
    <w:rsid w:val="519B69CC"/>
    <w:rsid w:val="51A1455E"/>
    <w:rsid w:val="51A67184"/>
    <w:rsid w:val="51B81CB4"/>
    <w:rsid w:val="51BD627C"/>
    <w:rsid w:val="51CF4AD7"/>
    <w:rsid w:val="51DB4FF3"/>
    <w:rsid w:val="51DD771A"/>
    <w:rsid w:val="51E22155"/>
    <w:rsid w:val="51E571D4"/>
    <w:rsid w:val="51E607BE"/>
    <w:rsid w:val="51EB6365"/>
    <w:rsid w:val="520C629E"/>
    <w:rsid w:val="52115F71"/>
    <w:rsid w:val="5212481A"/>
    <w:rsid w:val="5218772C"/>
    <w:rsid w:val="52224331"/>
    <w:rsid w:val="522D3BC2"/>
    <w:rsid w:val="52350372"/>
    <w:rsid w:val="52374280"/>
    <w:rsid w:val="523866DB"/>
    <w:rsid w:val="523E2D1D"/>
    <w:rsid w:val="5248023B"/>
    <w:rsid w:val="524E3378"/>
    <w:rsid w:val="526F24AE"/>
    <w:rsid w:val="526F3A1A"/>
    <w:rsid w:val="527E1EAF"/>
    <w:rsid w:val="52806EC8"/>
    <w:rsid w:val="528201CF"/>
    <w:rsid w:val="528C3D99"/>
    <w:rsid w:val="52900663"/>
    <w:rsid w:val="529214B7"/>
    <w:rsid w:val="52980A88"/>
    <w:rsid w:val="5298522C"/>
    <w:rsid w:val="52A15B9E"/>
    <w:rsid w:val="52A80A9D"/>
    <w:rsid w:val="52B21B59"/>
    <w:rsid w:val="52B809B9"/>
    <w:rsid w:val="52BB7D32"/>
    <w:rsid w:val="52CB3036"/>
    <w:rsid w:val="52D128C6"/>
    <w:rsid w:val="52DA09B7"/>
    <w:rsid w:val="52DA6D40"/>
    <w:rsid w:val="52EF6909"/>
    <w:rsid w:val="52F058E9"/>
    <w:rsid w:val="52F83A10"/>
    <w:rsid w:val="53000B16"/>
    <w:rsid w:val="5302663C"/>
    <w:rsid w:val="53067019"/>
    <w:rsid w:val="530F2B07"/>
    <w:rsid w:val="5316714C"/>
    <w:rsid w:val="53177C0E"/>
    <w:rsid w:val="531E0F9C"/>
    <w:rsid w:val="53211DB2"/>
    <w:rsid w:val="532A5B93"/>
    <w:rsid w:val="532F32BF"/>
    <w:rsid w:val="5342670B"/>
    <w:rsid w:val="534327B1"/>
    <w:rsid w:val="535B3F9E"/>
    <w:rsid w:val="535D4ADD"/>
    <w:rsid w:val="53764934"/>
    <w:rsid w:val="53784B50"/>
    <w:rsid w:val="537F31CD"/>
    <w:rsid w:val="538232D9"/>
    <w:rsid w:val="539574B0"/>
    <w:rsid w:val="539D0113"/>
    <w:rsid w:val="53A25729"/>
    <w:rsid w:val="53A2582C"/>
    <w:rsid w:val="53A92F5C"/>
    <w:rsid w:val="53BA0CC5"/>
    <w:rsid w:val="53BF7C6C"/>
    <w:rsid w:val="53E136CF"/>
    <w:rsid w:val="53E255A0"/>
    <w:rsid w:val="53F109E6"/>
    <w:rsid w:val="53F75E90"/>
    <w:rsid w:val="54015E59"/>
    <w:rsid w:val="54176117"/>
    <w:rsid w:val="54177385"/>
    <w:rsid w:val="541C1980"/>
    <w:rsid w:val="54282338"/>
    <w:rsid w:val="542B571F"/>
    <w:rsid w:val="54316AAD"/>
    <w:rsid w:val="54352A41"/>
    <w:rsid w:val="5437369B"/>
    <w:rsid w:val="543A1E06"/>
    <w:rsid w:val="543C792C"/>
    <w:rsid w:val="54521934"/>
    <w:rsid w:val="545612CA"/>
    <w:rsid w:val="545807D2"/>
    <w:rsid w:val="545A4256"/>
    <w:rsid w:val="5464618B"/>
    <w:rsid w:val="547075D6"/>
    <w:rsid w:val="547324D1"/>
    <w:rsid w:val="547528A1"/>
    <w:rsid w:val="54774803"/>
    <w:rsid w:val="54776BB6"/>
    <w:rsid w:val="547D1331"/>
    <w:rsid w:val="54895D46"/>
    <w:rsid w:val="54897EE4"/>
    <w:rsid w:val="548D5849"/>
    <w:rsid w:val="548E32B0"/>
    <w:rsid w:val="5493057E"/>
    <w:rsid w:val="549366B5"/>
    <w:rsid w:val="54952808"/>
    <w:rsid w:val="549D2453"/>
    <w:rsid w:val="549E2A0C"/>
    <w:rsid w:val="54A53299"/>
    <w:rsid w:val="54AA740A"/>
    <w:rsid w:val="54BA4EE8"/>
    <w:rsid w:val="54BE713A"/>
    <w:rsid w:val="54C31873"/>
    <w:rsid w:val="54C55B73"/>
    <w:rsid w:val="54CB7808"/>
    <w:rsid w:val="54E0475B"/>
    <w:rsid w:val="54F2448F"/>
    <w:rsid w:val="54FE72D7"/>
    <w:rsid w:val="55017223"/>
    <w:rsid w:val="550A5C7C"/>
    <w:rsid w:val="550F0C9B"/>
    <w:rsid w:val="550F5041"/>
    <w:rsid w:val="55147E09"/>
    <w:rsid w:val="55160F2F"/>
    <w:rsid w:val="55167559"/>
    <w:rsid w:val="55196DA6"/>
    <w:rsid w:val="55320D2F"/>
    <w:rsid w:val="553230A8"/>
    <w:rsid w:val="55326F81"/>
    <w:rsid w:val="553625CD"/>
    <w:rsid w:val="55366A71"/>
    <w:rsid w:val="55445631"/>
    <w:rsid w:val="554A5CB4"/>
    <w:rsid w:val="555144D8"/>
    <w:rsid w:val="55524A04"/>
    <w:rsid w:val="556533F4"/>
    <w:rsid w:val="55676C2B"/>
    <w:rsid w:val="556F1076"/>
    <w:rsid w:val="556F78AD"/>
    <w:rsid w:val="55733457"/>
    <w:rsid w:val="55733D71"/>
    <w:rsid w:val="55786902"/>
    <w:rsid w:val="557A4EB1"/>
    <w:rsid w:val="557E3F74"/>
    <w:rsid w:val="55801A9A"/>
    <w:rsid w:val="55862E36"/>
    <w:rsid w:val="558A46C7"/>
    <w:rsid w:val="558D4535"/>
    <w:rsid w:val="558F77E8"/>
    <w:rsid w:val="559422AF"/>
    <w:rsid w:val="55975999"/>
    <w:rsid w:val="55976C9E"/>
    <w:rsid w:val="55A0038E"/>
    <w:rsid w:val="55BD4A9D"/>
    <w:rsid w:val="55BF0815"/>
    <w:rsid w:val="55C81195"/>
    <w:rsid w:val="55DC7658"/>
    <w:rsid w:val="55E316B5"/>
    <w:rsid w:val="55E5412F"/>
    <w:rsid w:val="55FD3B66"/>
    <w:rsid w:val="560669B1"/>
    <w:rsid w:val="56073F6A"/>
    <w:rsid w:val="562E4B2B"/>
    <w:rsid w:val="563034C0"/>
    <w:rsid w:val="563E7C53"/>
    <w:rsid w:val="564104D7"/>
    <w:rsid w:val="564672DC"/>
    <w:rsid w:val="56635D06"/>
    <w:rsid w:val="566C50E8"/>
    <w:rsid w:val="56701B0F"/>
    <w:rsid w:val="56703846"/>
    <w:rsid w:val="567A0BDF"/>
    <w:rsid w:val="568115FD"/>
    <w:rsid w:val="56847A1C"/>
    <w:rsid w:val="569C2904"/>
    <w:rsid w:val="56A65531"/>
    <w:rsid w:val="56A67792"/>
    <w:rsid w:val="56AE751C"/>
    <w:rsid w:val="56B20379"/>
    <w:rsid w:val="56BE3197"/>
    <w:rsid w:val="56BE38A3"/>
    <w:rsid w:val="56C43C09"/>
    <w:rsid w:val="56C87B9D"/>
    <w:rsid w:val="56E16569"/>
    <w:rsid w:val="56E36785"/>
    <w:rsid w:val="56E401CB"/>
    <w:rsid w:val="56E85B49"/>
    <w:rsid w:val="56FE35BF"/>
    <w:rsid w:val="570045FE"/>
    <w:rsid w:val="571033C1"/>
    <w:rsid w:val="57141164"/>
    <w:rsid w:val="5714547B"/>
    <w:rsid w:val="5728063B"/>
    <w:rsid w:val="572C182F"/>
    <w:rsid w:val="572F7DFE"/>
    <w:rsid w:val="573520F2"/>
    <w:rsid w:val="573568B4"/>
    <w:rsid w:val="5736794B"/>
    <w:rsid w:val="573945F7"/>
    <w:rsid w:val="57511940"/>
    <w:rsid w:val="57665F5A"/>
    <w:rsid w:val="577324F3"/>
    <w:rsid w:val="57770C7B"/>
    <w:rsid w:val="57776ECD"/>
    <w:rsid w:val="57843737"/>
    <w:rsid w:val="57846740"/>
    <w:rsid w:val="5785577D"/>
    <w:rsid w:val="57923D07"/>
    <w:rsid w:val="579856BD"/>
    <w:rsid w:val="5798756F"/>
    <w:rsid w:val="579F6C1A"/>
    <w:rsid w:val="57B61BC5"/>
    <w:rsid w:val="57C57C38"/>
    <w:rsid w:val="57C62CAE"/>
    <w:rsid w:val="57D74861"/>
    <w:rsid w:val="57E9041E"/>
    <w:rsid w:val="57EB0CC3"/>
    <w:rsid w:val="57F77E76"/>
    <w:rsid w:val="57FF75EE"/>
    <w:rsid w:val="58006EC2"/>
    <w:rsid w:val="580123CF"/>
    <w:rsid w:val="580532FA"/>
    <w:rsid w:val="58265A61"/>
    <w:rsid w:val="58353010"/>
    <w:rsid w:val="58451850"/>
    <w:rsid w:val="5847689F"/>
    <w:rsid w:val="58533496"/>
    <w:rsid w:val="58586CFE"/>
    <w:rsid w:val="585B7BE9"/>
    <w:rsid w:val="585E39B1"/>
    <w:rsid w:val="58643165"/>
    <w:rsid w:val="586B3184"/>
    <w:rsid w:val="586E02D0"/>
    <w:rsid w:val="58882EC9"/>
    <w:rsid w:val="588A48DE"/>
    <w:rsid w:val="589661EB"/>
    <w:rsid w:val="58A17FF0"/>
    <w:rsid w:val="58A45DAD"/>
    <w:rsid w:val="58A91308"/>
    <w:rsid w:val="58AC1A51"/>
    <w:rsid w:val="58AD0DF8"/>
    <w:rsid w:val="58B53938"/>
    <w:rsid w:val="58B9336C"/>
    <w:rsid w:val="58BD4DB3"/>
    <w:rsid w:val="58C05D2A"/>
    <w:rsid w:val="58C06B73"/>
    <w:rsid w:val="58C25E86"/>
    <w:rsid w:val="58CF5213"/>
    <w:rsid w:val="58D217BB"/>
    <w:rsid w:val="58D36773"/>
    <w:rsid w:val="58D613D4"/>
    <w:rsid w:val="58E21BC7"/>
    <w:rsid w:val="58E7409E"/>
    <w:rsid w:val="58E83B65"/>
    <w:rsid w:val="58EA21DF"/>
    <w:rsid w:val="58ED44DD"/>
    <w:rsid w:val="58F57E61"/>
    <w:rsid w:val="58FB6DE6"/>
    <w:rsid w:val="59034EBC"/>
    <w:rsid w:val="59037C3D"/>
    <w:rsid w:val="59044790"/>
    <w:rsid w:val="5915074C"/>
    <w:rsid w:val="5915699E"/>
    <w:rsid w:val="591C5F7E"/>
    <w:rsid w:val="591D79B1"/>
    <w:rsid w:val="591F781C"/>
    <w:rsid w:val="59232E69"/>
    <w:rsid w:val="592C5203"/>
    <w:rsid w:val="592E5F20"/>
    <w:rsid w:val="59407EBE"/>
    <w:rsid w:val="594A6647"/>
    <w:rsid w:val="594E3174"/>
    <w:rsid w:val="59513FBD"/>
    <w:rsid w:val="5961456B"/>
    <w:rsid w:val="59652A5F"/>
    <w:rsid w:val="59710498"/>
    <w:rsid w:val="59790B19"/>
    <w:rsid w:val="59797C4E"/>
    <w:rsid w:val="59851D75"/>
    <w:rsid w:val="598A51C9"/>
    <w:rsid w:val="598C3104"/>
    <w:rsid w:val="5995216A"/>
    <w:rsid w:val="599B50F5"/>
    <w:rsid w:val="599C09DC"/>
    <w:rsid w:val="59BB12F3"/>
    <w:rsid w:val="59BE0DE3"/>
    <w:rsid w:val="59C11551"/>
    <w:rsid w:val="59C53632"/>
    <w:rsid w:val="59C72210"/>
    <w:rsid w:val="59D20E47"/>
    <w:rsid w:val="59DC55BF"/>
    <w:rsid w:val="59E7307A"/>
    <w:rsid w:val="59EB1207"/>
    <w:rsid w:val="59EE4DAD"/>
    <w:rsid w:val="5A034988"/>
    <w:rsid w:val="5A0E377B"/>
    <w:rsid w:val="5A0F7891"/>
    <w:rsid w:val="5A100B94"/>
    <w:rsid w:val="5A137883"/>
    <w:rsid w:val="5A17144B"/>
    <w:rsid w:val="5A1A4663"/>
    <w:rsid w:val="5A1C5C4A"/>
    <w:rsid w:val="5A1F0775"/>
    <w:rsid w:val="5A1F5032"/>
    <w:rsid w:val="5A204430"/>
    <w:rsid w:val="5A236268"/>
    <w:rsid w:val="5A307F33"/>
    <w:rsid w:val="5A3F0176"/>
    <w:rsid w:val="5A461504"/>
    <w:rsid w:val="5A470DD9"/>
    <w:rsid w:val="5A47527D"/>
    <w:rsid w:val="5A480DCC"/>
    <w:rsid w:val="5A4A66E2"/>
    <w:rsid w:val="5A4C530C"/>
    <w:rsid w:val="5A5A794E"/>
    <w:rsid w:val="5A5B5287"/>
    <w:rsid w:val="5A6248F6"/>
    <w:rsid w:val="5A6403AC"/>
    <w:rsid w:val="5A6E2809"/>
    <w:rsid w:val="5A7670FD"/>
    <w:rsid w:val="5A84202D"/>
    <w:rsid w:val="5A8B4CF4"/>
    <w:rsid w:val="5A8F2CD7"/>
    <w:rsid w:val="5A980073"/>
    <w:rsid w:val="5A9E7DB6"/>
    <w:rsid w:val="5AA04D46"/>
    <w:rsid w:val="5AA053AE"/>
    <w:rsid w:val="5AB13FD3"/>
    <w:rsid w:val="5AB87F28"/>
    <w:rsid w:val="5AC468CD"/>
    <w:rsid w:val="5ACE3B60"/>
    <w:rsid w:val="5AD01FAB"/>
    <w:rsid w:val="5AD52888"/>
    <w:rsid w:val="5AD563E4"/>
    <w:rsid w:val="5AD60C24"/>
    <w:rsid w:val="5AE8436A"/>
    <w:rsid w:val="5AE94FCE"/>
    <w:rsid w:val="5AF745AD"/>
    <w:rsid w:val="5B046A31"/>
    <w:rsid w:val="5B0647F0"/>
    <w:rsid w:val="5B121336"/>
    <w:rsid w:val="5B195A0A"/>
    <w:rsid w:val="5B1C3BB4"/>
    <w:rsid w:val="5B2264C6"/>
    <w:rsid w:val="5B231846"/>
    <w:rsid w:val="5B332483"/>
    <w:rsid w:val="5B3F5F54"/>
    <w:rsid w:val="5B435A44"/>
    <w:rsid w:val="5B503CBD"/>
    <w:rsid w:val="5B5621BB"/>
    <w:rsid w:val="5B62397A"/>
    <w:rsid w:val="5B6677FD"/>
    <w:rsid w:val="5B672D20"/>
    <w:rsid w:val="5B6B0AF7"/>
    <w:rsid w:val="5B722DD7"/>
    <w:rsid w:val="5B7C71A8"/>
    <w:rsid w:val="5B8C73EB"/>
    <w:rsid w:val="5B9D661E"/>
    <w:rsid w:val="5BA1276A"/>
    <w:rsid w:val="5BA9004D"/>
    <w:rsid w:val="5BB05106"/>
    <w:rsid w:val="5BB34C8C"/>
    <w:rsid w:val="5BB701E0"/>
    <w:rsid w:val="5BBE5DF0"/>
    <w:rsid w:val="5BC16969"/>
    <w:rsid w:val="5BCC1A9C"/>
    <w:rsid w:val="5BD40D92"/>
    <w:rsid w:val="5BE865EB"/>
    <w:rsid w:val="5BEB7BA1"/>
    <w:rsid w:val="5BF154A0"/>
    <w:rsid w:val="5BF24C58"/>
    <w:rsid w:val="5BF64B27"/>
    <w:rsid w:val="5C0049E1"/>
    <w:rsid w:val="5C037758"/>
    <w:rsid w:val="5C0E385F"/>
    <w:rsid w:val="5C1178F0"/>
    <w:rsid w:val="5C125E56"/>
    <w:rsid w:val="5C1858A3"/>
    <w:rsid w:val="5C342F61"/>
    <w:rsid w:val="5C3936CD"/>
    <w:rsid w:val="5C3F16A6"/>
    <w:rsid w:val="5C4001D5"/>
    <w:rsid w:val="5C4111ED"/>
    <w:rsid w:val="5C57704E"/>
    <w:rsid w:val="5C5D4249"/>
    <w:rsid w:val="5C686817"/>
    <w:rsid w:val="5C6B6778"/>
    <w:rsid w:val="5C71213D"/>
    <w:rsid w:val="5C714352"/>
    <w:rsid w:val="5C8260DC"/>
    <w:rsid w:val="5C8C6F77"/>
    <w:rsid w:val="5C981DBF"/>
    <w:rsid w:val="5C9E732D"/>
    <w:rsid w:val="5C9F4EFC"/>
    <w:rsid w:val="5CA5061F"/>
    <w:rsid w:val="5CAF71DA"/>
    <w:rsid w:val="5CC04E72"/>
    <w:rsid w:val="5CC166A9"/>
    <w:rsid w:val="5CCF75B1"/>
    <w:rsid w:val="5CD37048"/>
    <w:rsid w:val="5CD728E8"/>
    <w:rsid w:val="5CDD1B9C"/>
    <w:rsid w:val="5CE15296"/>
    <w:rsid w:val="5CE2128D"/>
    <w:rsid w:val="5CE2303B"/>
    <w:rsid w:val="5CE46DB3"/>
    <w:rsid w:val="5CEE378D"/>
    <w:rsid w:val="5CEE7C31"/>
    <w:rsid w:val="5CEF66F0"/>
    <w:rsid w:val="5CF178B1"/>
    <w:rsid w:val="5CF72E40"/>
    <w:rsid w:val="5D0E2082"/>
    <w:rsid w:val="5D1A5681"/>
    <w:rsid w:val="5D20306D"/>
    <w:rsid w:val="5D284EF1"/>
    <w:rsid w:val="5D327B1E"/>
    <w:rsid w:val="5D336D63"/>
    <w:rsid w:val="5D356543"/>
    <w:rsid w:val="5D386F41"/>
    <w:rsid w:val="5D463BDB"/>
    <w:rsid w:val="5D4A1B1D"/>
    <w:rsid w:val="5D722610"/>
    <w:rsid w:val="5D8312B2"/>
    <w:rsid w:val="5DA500C8"/>
    <w:rsid w:val="5DAF73C1"/>
    <w:rsid w:val="5DB64E2A"/>
    <w:rsid w:val="5DBB464E"/>
    <w:rsid w:val="5DBE1707"/>
    <w:rsid w:val="5DC04A97"/>
    <w:rsid w:val="5DCC7F73"/>
    <w:rsid w:val="5DF4033E"/>
    <w:rsid w:val="5E1216FE"/>
    <w:rsid w:val="5E180840"/>
    <w:rsid w:val="5E3653EC"/>
    <w:rsid w:val="5E423AB4"/>
    <w:rsid w:val="5E4671AD"/>
    <w:rsid w:val="5E4B6A50"/>
    <w:rsid w:val="5E532442"/>
    <w:rsid w:val="5E5A37D0"/>
    <w:rsid w:val="5E653F23"/>
    <w:rsid w:val="5E653F83"/>
    <w:rsid w:val="5E6737F7"/>
    <w:rsid w:val="5E725B6B"/>
    <w:rsid w:val="5E750541"/>
    <w:rsid w:val="5E85125B"/>
    <w:rsid w:val="5E853D0A"/>
    <w:rsid w:val="5E93283E"/>
    <w:rsid w:val="5E9E79D5"/>
    <w:rsid w:val="5EB56C59"/>
    <w:rsid w:val="5EBF1885"/>
    <w:rsid w:val="5EC57DA1"/>
    <w:rsid w:val="5EC7073A"/>
    <w:rsid w:val="5ED2165C"/>
    <w:rsid w:val="5ED32AE2"/>
    <w:rsid w:val="5ED461CD"/>
    <w:rsid w:val="5ED66BCF"/>
    <w:rsid w:val="5EDF5A84"/>
    <w:rsid w:val="5EE57B01"/>
    <w:rsid w:val="5EE70DDC"/>
    <w:rsid w:val="5F08322C"/>
    <w:rsid w:val="5F0E0117"/>
    <w:rsid w:val="5F1B5ED5"/>
    <w:rsid w:val="5F227739"/>
    <w:rsid w:val="5F231541"/>
    <w:rsid w:val="5F2A3265"/>
    <w:rsid w:val="5F2B6CCA"/>
    <w:rsid w:val="5F3D7868"/>
    <w:rsid w:val="5F4043B4"/>
    <w:rsid w:val="5F427DC1"/>
    <w:rsid w:val="5F434264"/>
    <w:rsid w:val="5F4D125E"/>
    <w:rsid w:val="5F506981"/>
    <w:rsid w:val="5F5C0C03"/>
    <w:rsid w:val="5F6C2874"/>
    <w:rsid w:val="5F9C3975"/>
    <w:rsid w:val="5FA12D39"/>
    <w:rsid w:val="5FA5175A"/>
    <w:rsid w:val="5FA56A3F"/>
    <w:rsid w:val="5FB203CF"/>
    <w:rsid w:val="5FB94F96"/>
    <w:rsid w:val="5FBC5DC5"/>
    <w:rsid w:val="5FCD7F69"/>
    <w:rsid w:val="5FCF7CAE"/>
    <w:rsid w:val="5FD14746"/>
    <w:rsid w:val="5FDC73C0"/>
    <w:rsid w:val="5FE7059D"/>
    <w:rsid w:val="5FEA168D"/>
    <w:rsid w:val="5FEC3500"/>
    <w:rsid w:val="5FED4190"/>
    <w:rsid w:val="5FEE778B"/>
    <w:rsid w:val="5FF06B51"/>
    <w:rsid w:val="5FFD04D1"/>
    <w:rsid w:val="60017FFF"/>
    <w:rsid w:val="60060A18"/>
    <w:rsid w:val="600809AE"/>
    <w:rsid w:val="601C2FDB"/>
    <w:rsid w:val="601D3B44"/>
    <w:rsid w:val="60271773"/>
    <w:rsid w:val="602F3923"/>
    <w:rsid w:val="603040BD"/>
    <w:rsid w:val="60325C9E"/>
    <w:rsid w:val="603E4A2C"/>
    <w:rsid w:val="604066E9"/>
    <w:rsid w:val="60577BB7"/>
    <w:rsid w:val="606128F9"/>
    <w:rsid w:val="60707E37"/>
    <w:rsid w:val="60710254"/>
    <w:rsid w:val="60727BE9"/>
    <w:rsid w:val="607615F8"/>
    <w:rsid w:val="60805044"/>
    <w:rsid w:val="60807892"/>
    <w:rsid w:val="60820DBC"/>
    <w:rsid w:val="60830691"/>
    <w:rsid w:val="60874625"/>
    <w:rsid w:val="60930716"/>
    <w:rsid w:val="60971779"/>
    <w:rsid w:val="609C650B"/>
    <w:rsid w:val="60A50477"/>
    <w:rsid w:val="60A9383C"/>
    <w:rsid w:val="60AE3960"/>
    <w:rsid w:val="60B531C6"/>
    <w:rsid w:val="60BB703E"/>
    <w:rsid w:val="60BD13AD"/>
    <w:rsid w:val="60C03693"/>
    <w:rsid w:val="60C05441"/>
    <w:rsid w:val="60C767CF"/>
    <w:rsid w:val="60CC6897"/>
    <w:rsid w:val="60CE1A32"/>
    <w:rsid w:val="60D64DF6"/>
    <w:rsid w:val="60E53758"/>
    <w:rsid w:val="60EB559E"/>
    <w:rsid w:val="60EC5A98"/>
    <w:rsid w:val="60ED7923"/>
    <w:rsid w:val="60F7513F"/>
    <w:rsid w:val="60FE7241"/>
    <w:rsid w:val="61020A8B"/>
    <w:rsid w:val="610E43FE"/>
    <w:rsid w:val="61113810"/>
    <w:rsid w:val="612274F5"/>
    <w:rsid w:val="61233922"/>
    <w:rsid w:val="612B1454"/>
    <w:rsid w:val="612E684E"/>
    <w:rsid w:val="61371B9D"/>
    <w:rsid w:val="613A3445"/>
    <w:rsid w:val="613A6B72"/>
    <w:rsid w:val="613F280A"/>
    <w:rsid w:val="614C3178"/>
    <w:rsid w:val="614C4F26"/>
    <w:rsid w:val="61505623"/>
    <w:rsid w:val="61507E61"/>
    <w:rsid w:val="61587D6F"/>
    <w:rsid w:val="615F2EAC"/>
    <w:rsid w:val="616B1851"/>
    <w:rsid w:val="616E7593"/>
    <w:rsid w:val="61700B7C"/>
    <w:rsid w:val="61840B64"/>
    <w:rsid w:val="61862394"/>
    <w:rsid w:val="618A26A8"/>
    <w:rsid w:val="61940E80"/>
    <w:rsid w:val="619C1A0A"/>
    <w:rsid w:val="61B01959"/>
    <w:rsid w:val="61B56E1C"/>
    <w:rsid w:val="61BA27D8"/>
    <w:rsid w:val="61CA179A"/>
    <w:rsid w:val="61ED60AB"/>
    <w:rsid w:val="61F07FA8"/>
    <w:rsid w:val="61F53F49"/>
    <w:rsid w:val="61F561D1"/>
    <w:rsid w:val="61F67F53"/>
    <w:rsid w:val="61FC5BF7"/>
    <w:rsid w:val="62003D72"/>
    <w:rsid w:val="62025E32"/>
    <w:rsid w:val="621041A6"/>
    <w:rsid w:val="62144911"/>
    <w:rsid w:val="62233ED9"/>
    <w:rsid w:val="622C4346"/>
    <w:rsid w:val="62353C0D"/>
    <w:rsid w:val="62397520"/>
    <w:rsid w:val="623E0E90"/>
    <w:rsid w:val="62456440"/>
    <w:rsid w:val="62472EF3"/>
    <w:rsid w:val="624A76B8"/>
    <w:rsid w:val="626A0BA2"/>
    <w:rsid w:val="626C7DD0"/>
    <w:rsid w:val="627110E9"/>
    <w:rsid w:val="62740BD9"/>
    <w:rsid w:val="627D6533"/>
    <w:rsid w:val="627E1801"/>
    <w:rsid w:val="628358B6"/>
    <w:rsid w:val="62856942"/>
    <w:rsid w:val="62970423"/>
    <w:rsid w:val="62987E9F"/>
    <w:rsid w:val="62A342CB"/>
    <w:rsid w:val="62B2525D"/>
    <w:rsid w:val="62B31701"/>
    <w:rsid w:val="62B334AF"/>
    <w:rsid w:val="62B53088"/>
    <w:rsid w:val="62B912A0"/>
    <w:rsid w:val="62BA354D"/>
    <w:rsid w:val="62BD60DC"/>
    <w:rsid w:val="62BE3C02"/>
    <w:rsid w:val="62C07F2F"/>
    <w:rsid w:val="62C16C8E"/>
    <w:rsid w:val="62C40FBE"/>
    <w:rsid w:val="62CC0B21"/>
    <w:rsid w:val="62CD0CD8"/>
    <w:rsid w:val="62D31C2E"/>
    <w:rsid w:val="62D376AD"/>
    <w:rsid w:val="62E93375"/>
    <w:rsid w:val="62F578E3"/>
    <w:rsid w:val="62FD0BCE"/>
    <w:rsid w:val="63043D0B"/>
    <w:rsid w:val="630601E3"/>
    <w:rsid w:val="63091321"/>
    <w:rsid w:val="630E0255"/>
    <w:rsid w:val="63147CC6"/>
    <w:rsid w:val="63147F78"/>
    <w:rsid w:val="63251ED3"/>
    <w:rsid w:val="632B2BBF"/>
    <w:rsid w:val="632C14B3"/>
    <w:rsid w:val="632C5010"/>
    <w:rsid w:val="6332592B"/>
    <w:rsid w:val="633667CA"/>
    <w:rsid w:val="633E6D8A"/>
    <w:rsid w:val="63412B7F"/>
    <w:rsid w:val="63694055"/>
    <w:rsid w:val="636D09A0"/>
    <w:rsid w:val="637075F2"/>
    <w:rsid w:val="63730B22"/>
    <w:rsid w:val="63861A11"/>
    <w:rsid w:val="638D01B0"/>
    <w:rsid w:val="638F5282"/>
    <w:rsid w:val="63903FB2"/>
    <w:rsid w:val="63951A3C"/>
    <w:rsid w:val="639A641D"/>
    <w:rsid w:val="639D5F0D"/>
    <w:rsid w:val="63A4104A"/>
    <w:rsid w:val="63AB6077"/>
    <w:rsid w:val="63B719D9"/>
    <w:rsid w:val="63BA2253"/>
    <w:rsid w:val="63BE6120"/>
    <w:rsid w:val="63D56FFD"/>
    <w:rsid w:val="63D72BD7"/>
    <w:rsid w:val="63E35A8D"/>
    <w:rsid w:val="63E51605"/>
    <w:rsid w:val="63E91313"/>
    <w:rsid w:val="63ED56F4"/>
    <w:rsid w:val="63EE71D7"/>
    <w:rsid w:val="63F62524"/>
    <w:rsid w:val="63F80315"/>
    <w:rsid w:val="63F8233D"/>
    <w:rsid w:val="63FF7FFE"/>
    <w:rsid w:val="64025D70"/>
    <w:rsid w:val="640B21AC"/>
    <w:rsid w:val="6410048D"/>
    <w:rsid w:val="641368FC"/>
    <w:rsid w:val="6421269A"/>
    <w:rsid w:val="64232B30"/>
    <w:rsid w:val="6424218B"/>
    <w:rsid w:val="6425146E"/>
    <w:rsid w:val="642750FF"/>
    <w:rsid w:val="642E7FF9"/>
    <w:rsid w:val="64422D1C"/>
    <w:rsid w:val="644A10F6"/>
    <w:rsid w:val="644F148B"/>
    <w:rsid w:val="6455312D"/>
    <w:rsid w:val="64584C28"/>
    <w:rsid w:val="64591E7E"/>
    <w:rsid w:val="64600BBC"/>
    <w:rsid w:val="64746C6E"/>
    <w:rsid w:val="647D23B3"/>
    <w:rsid w:val="6485431C"/>
    <w:rsid w:val="64AA08E2"/>
    <w:rsid w:val="64C34D65"/>
    <w:rsid w:val="64C90BAD"/>
    <w:rsid w:val="64CF20BC"/>
    <w:rsid w:val="64CF659A"/>
    <w:rsid w:val="64D30818"/>
    <w:rsid w:val="64D710A3"/>
    <w:rsid w:val="64D836A1"/>
    <w:rsid w:val="64D92CF5"/>
    <w:rsid w:val="64D94D23"/>
    <w:rsid w:val="64DB0A9B"/>
    <w:rsid w:val="64DF10B1"/>
    <w:rsid w:val="64F13BAE"/>
    <w:rsid w:val="64F3458D"/>
    <w:rsid w:val="64F536EB"/>
    <w:rsid w:val="64F8164D"/>
    <w:rsid w:val="65193D02"/>
    <w:rsid w:val="65226E48"/>
    <w:rsid w:val="652C12F7"/>
    <w:rsid w:val="65310255"/>
    <w:rsid w:val="653257ED"/>
    <w:rsid w:val="653E11A6"/>
    <w:rsid w:val="65597932"/>
    <w:rsid w:val="656C76C4"/>
    <w:rsid w:val="656E5D11"/>
    <w:rsid w:val="65827169"/>
    <w:rsid w:val="65846AD9"/>
    <w:rsid w:val="658C2395"/>
    <w:rsid w:val="658E1337"/>
    <w:rsid w:val="65961A42"/>
    <w:rsid w:val="65961A68"/>
    <w:rsid w:val="65B35574"/>
    <w:rsid w:val="65B9416E"/>
    <w:rsid w:val="65BD04B1"/>
    <w:rsid w:val="65C67342"/>
    <w:rsid w:val="65D16EA1"/>
    <w:rsid w:val="65E120E1"/>
    <w:rsid w:val="65E41BD1"/>
    <w:rsid w:val="65F00576"/>
    <w:rsid w:val="65F05A79"/>
    <w:rsid w:val="65F72169"/>
    <w:rsid w:val="65F83F4C"/>
    <w:rsid w:val="65FA01CE"/>
    <w:rsid w:val="65FF0E50"/>
    <w:rsid w:val="660C1089"/>
    <w:rsid w:val="661701F9"/>
    <w:rsid w:val="661A3845"/>
    <w:rsid w:val="66240220"/>
    <w:rsid w:val="66291CDA"/>
    <w:rsid w:val="662C44D7"/>
    <w:rsid w:val="66355F50"/>
    <w:rsid w:val="66383CCB"/>
    <w:rsid w:val="66430FEE"/>
    <w:rsid w:val="66440D50"/>
    <w:rsid w:val="664D3C1B"/>
    <w:rsid w:val="664D72CB"/>
    <w:rsid w:val="66504945"/>
    <w:rsid w:val="665A1E94"/>
    <w:rsid w:val="665C2090"/>
    <w:rsid w:val="666845B1"/>
    <w:rsid w:val="666C12D9"/>
    <w:rsid w:val="666F5527"/>
    <w:rsid w:val="66763171"/>
    <w:rsid w:val="667C62AE"/>
    <w:rsid w:val="667F60C2"/>
    <w:rsid w:val="668229B8"/>
    <w:rsid w:val="668D7512"/>
    <w:rsid w:val="668F2230"/>
    <w:rsid w:val="669B6734"/>
    <w:rsid w:val="669E6224"/>
    <w:rsid w:val="669F36BE"/>
    <w:rsid w:val="66A122C6"/>
    <w:rsid w:val="66AA7D3D"/>
    <w:rsid w:val="66C60076"/>
    <w:rsid w:val="66CF4630"/>
    <w:rsid w:val="66CF5A1A"/>
    <w:rsid w:val="66D63C10"/>
    <w:rsid w:val="66D87259"/>
    <w:rsid w:val="66DF5826"/>
    <w:rsid w:val="66E03EBD"/>
    <w:rsid w:val="66E52C2C"/>
    <w:rsid w:val="6701737A"/>
    <w:rsid w:val="67033627"/>
    <w:rsid w:val="670A3F58"/>
    <w:rsid w:val="67287F82"/>
    <w:rsid w:val="67361904"/>
    <w:rsid w:val="673821D5"/>
    <w:rsid w:val="67394686"/>
    <w:rsid w:val="67472418"/>
    <w:rsid w:val="674768BC"/>
    <w:rsid w:val="6748553E"/>
    <w:rsid w:val="674C3054"/>
    <w:rsid w:val="675044F0"/>
    <w:rsid w:val="675220D6"/>
    <w:rsid w:val="67544B35"/>
    <w:rsid w:val="675D3F22"/>
    <w:rsid w:val="67604A61"/>
    <w:rsid w:val="676627BE"/>
    <w:rsid w:val="676B07FC"/>
    <w:rsid w:val="676B3BD9"/>
    <w:rsid w:val="676F1B28"/>
    <w:rsid w:val="677B47B7"/>
    <w:rsid w:val="67890C82"/>
    <w:rsid w:val="678A0557"/>
    <w:rsid w:val="679B09B6"/>
    <w:rsid w:val="67C12FEA"/>
    <w:rsid w:val="67C63C85"/>
    <w:rsid w:val="67D77C40"/>
    <w:rsid w:val="67DA7730"/>
    <w:rsid w:val="67DB0DB2"/>
    <w:rsid w:val="67DD0344"/>
    <w:rsid w:val="67E040A0"/>
    <w:rsid w:val="67E617FF"/>
    <w:rsid w:val="67E6351E"/>
    <w:rsid w:val="67F26828"/>
    <w:rsid w:val="67FE299D"/>
    <w:rsid w:val="6803484D"/>
    <w:rsid w:val="68170834"/>
    <w:rsid w:val="683824DF"/>
    <w:rsid w:val="683D552F"/>
    <w:rsid w:val="68430743"/>
    <w:rsid w:val="68482151"/>
    <w:rsid w:val="685A43CD"/>
    <w:rsid w:val="685E66D5"/>
    <w:rsid w:val="685F43C3"/>
    <w:rsid w:val="6862002F"/>
    <w:rsid w:val="686D775D"/>
    <w:rsid w:val="687040CE"/>
    <w:rsid w:val="688651C2"/>
    <w:rsid w:val="6892146F"/>
    <w:rsid w:val="68923778"/>
    <w:rsid w:val="68A33D77"/>
    <w:rsid w:val="68AA5354"/>
    <w:rsid w:val="68AB4A00"/>
    <w:rsid w:val="68CF4BCE"/>
    <w:rsid w:val="68D10D3F"/>
    <w:rsid w:val="68DE6B85"/>
    <w:rsid w:val="68DF691E"/>
    <w:rsid w:val="68E343C2"/>
    <w:rsid w:val="68E41715"/>
    <w:rsid w:val="68E76C65"/>
    <w:rsid w:val="68EA74FF"/>
    <w:rsid w:val="68EF2D67"/>
    <w:rsid w:val="690031C6"/>
    <w:rsid w:val="69031659"/>
    <w:rsid w:val="69075638"/>
    <w:rsid w:val="690B3330"/>
    <w:rsid w:val="69180BE9"/>
    <w:rsid w:val="692A3D9F"/>
    <w:rsid w:val="692B0671"/>
    <w:rsid w:val="692C19DD"/>
    <w:rsid w:val="693E7798"/>
    <w:rsid w:val="694110E9"/>
    <w:rsid w:val="694B76BF"/>
    <w:rsid w:val="695A5ED7"/>
    <w:rsid w:val="69605A13"/>
    <w:rsid w:val="69623539"/>
    <w:rsid w:val="696755A6"/>
    <w:rsid w:val="697F233D"/>
    <w:rsid w:val="69803709"/>
    <w:rsid w:val="698D2869"/>
    <w:rsid w:val="699646B8"/>
    <w:rsid w:val="69AC65BA"/>
    <w:rsid w:val="69AF6473"/>
    <w:rsid w:val="69B3090F"/>
    <w:rsid w:val="69B61AD7"/>
    <w:rsid w:val="69CF506E"/>
    <w:rsid w:val="69DD52B6"/>
    <w:rsid w:val="69E12588"/>
    <w:rsid w:val="69E93980"/>
    <w:rsid w:val="69EC51D3"/>
    <w:rsid w:val="69ED7ECC"/>
    <w:rsid w:val="69F0323B"/>
    <w:rsid w:val="69F148BD"/>
    <w:rsid w:val="69F543AD"/>
    <w:rsid w:val="69FC76E8"/>
    <w:rsid w:val="6A130CD7"/>
    <w:rsid w:val="6A1567FD"/>
    <w:rsid w:val="6A242933"/>
    <w:rsid w:val="6A26694E"/>
    <w:rsid w:val="6A3C2E57"/>
    <w:rsid w:val="6A3F7D1E"/>
    <w:rsid w:val="6A4064A3"/>
    <w:rsid w:val="6A410B65"/>
    <w:rsid w:val="6A425119"/>
    <w:rsid w:val="6A463C03"/>
    <w:rsid w:val="6A4B221F"/>
    <w:rsid w:val="6A582B8E"/>
    <w:rsid w:val="6A5967A9"/>
    <w:rsid w:val="6A6E57A2"/>
    <w:rsid w:val="6A784972"/>
    <w:rsid w:val="6A81170C"/>
    <w:rsid w:val="6A861D5F"/>
    <w:rsid w:val="6A881E6F"/>
    <w:rsid w:val="6A885CF0"/>
    <w:rsid w:val="6A9E484B"/>
    <w:rsid w:val="6AA62728"/>
    <w:rsid w:val="6AAC3812"/>
    <w:rsid w:val="6AB62858"/>
    <w:rsid w:val="6ACA0F79"/>
    <w:rsid w:val="6ACD2948"/>
    <w:rsid w:val="6AD77158"/>
    <w:rsid w:val="6AD9146D"/>
    <w:rsid w:val="6AD9782B"/>
    <w:rsid w:val="6AE4292E"/>
    <w:rsid w:val="6AE508C6"/>
    <w:rsid w:val="6AF15040"/>
    <w:rsid w:val="6AF1726A"/>
    <w:rsid w:val="6AF503DD"/>
    <w:rsid w:val="6AFE6F01"/>
    <w:rsid w:val="6B1452A5"/>
    <w:rsid w:val="6B217424"/>
    <w:rsid w:val="6B2A452A"/>
    <w:rsid w:val="6B2C79C0"/>
    <w:rsid w:val="6B3233DF"/>
    <w:rsid w:val="6B327B40"/>
    <w:rsid w:val="6B3453A9"/>
    <w:rsid w:val="6B3D6595"/>
    <w:rsid w:val="6B4844BF"/>
    <w:rsid w:val="6B633598"/>
    <w:rsid w:val="6B634101"/>
    <w:rsid w:val="6B640734"/>
    <w:rsid w:val="6B6F4633"/>
    <w:rsid w:val="6B7D0DA9"/>
    <w:rsid w:val="6B7E6624"/>
    <w:rsid w:val="6B7E74A4"/>
    <w:rsid w:val="6B82574D"/>
    <w:rsid w:val="6B856DA3"/>
    <w:rsid w:val="6B8A1339"/>
    <w:rsid w:val="6B8B1A18"/>
    <w:rsid w:val="6BB1743C"/>
    <w:rsid w:val="6BBD1A66"/>
    <w:rsid w:val="6BBF03A5"/>
    <w:rsid w:val="6BBF2EC5"/>
    <w:rsid w:val="6BC32289"/>
    <w:rsid w:val="6BC73B27"/>
    <w:rsid w:val="6BCA3618"/>
    <w:rsid w:val="6BCF4ECD"/>
    <w:rsid w:val="6BD12BF8"/>
    <w:rsid w:val="6BD821D8"/>
    <w:rsid w:val="6BF275A6"/>
    <w:rsid w:val="6BF35261"/>
    <w:rsid w:val="6BFB0A53"/>
    <w:rsid w:val="6BFC3B49"/>
    <w:rsid w:val="6C004DC5"/>
    <w:rsid w:val="6C047748"/>
    <w:rsid w:val="6C0905E4"/>
    <w:rsid w:val="6C0B21AE"/>
    <w:rsid w:val="6C164AAF"/>
    <w:rsid w:val="6C1C0317"/>
    <w:rsid w:val="6C1C4A3B"/>
    <w:rsid w:val="6C257A61"/>
    <w:rsid w:val="6C2F473E"/>
    <w:rsid w:val="6C371F77"/>
    <w:rsid w:val="6C3A1E15"/>
    <w:rsid w:val="6C3D766A"/>
    <w:rsid w:val="6C42398B"/>
    <w:rsid w:val="6C4843C1"/>
    <w:rsid w:val="6C553851"/>
    <w:rsid w:val="6C5F0204"/>
    <w:rsid w:val="6C6B3DC9"/>
    <w:rsid w:val="6C6E6699"/>
    <w:rsid w:val="6C705222"/>
    <w:rsid w:val="6C784200"/>
    <w:rsid w:val="6C7B0617"/>
    <w:rsid w:val="6C7D023C"/>
    <w:rsid w:val="6C7E264A"/>
    <w:rsid w:val="6C8028FB"/>
    <w:rsid w:val="6C8531CE"/>
    <w:rsid w:val="6C882850"/>
    <w:rsid w:val="6C8B0FF9"/>
    <w:rsid w:val="6C8E6C86"/>
    <w:rsid w:val="6C934526"/>
    <w:rsid w:val="6C953C26"/>
    <w:rsid w:val="6C966E07"/>
    <w:rsid w:val="6CA1081C"/>
    <w:rsid w:val="6CA13C29"/>
    <w:rsid w:val="6CA65E33"/>
    <w:rsid w:val="6CA67BE1"/>
    <w:rsid w:val="6CA96186"/>
    <w:rsid w:val="6CB1429F"/>
    <w:rsid w:val="6CB647AB"/>
    <w:rsid w:val="6CB91EDE"/>
    <w:rsid w:val="6CBE2C62"/>
    <w:rsid w:val="6CC62031"/>
    <w:rsid w:val="6CCA3F9D"/>
    <w:rsid w:val="6CDA5A90"/>
    <w:rsid w:val="6CDC091B"/>
    <w:rsid w:val="6CDF30F3"/>
    <w:rsid w:val="6CF069AB"/>
    <w:rsid w:val="6CFB4D33"/>
    <w:rsid w:val="6CFC0E9A"/>
    <w:rsid w:val="6CFC2D7A"/>
    <w:rsid w:val="6CFE17CB"/>
    <w:rsid w:val="6CFF2D11"/>
    <w:rsid w:val="6D1159A2"/>
    <w:rsid w:val="6D12630D"/>
    <w:rsid w:val="6D222B06"/>
    <w:rsid w:val="6D261957"/>
    <w:rsid w:val="6D2C1FDA"/>
    <w:rsid w:val="6D34168A"/>
    <w:rsid w:val="6D367283"/>
    <w:rsid w:val="6D415B5B"/>
    <w:rsid w:val="6D4C69DA"/>
    <w:rsid w:val="6D4F57D5"/>
    <w:rsid w:val="6D51581F"/>
    <w:rsid w:val="6D58189E"/>
    <w:rsid w:val="6D634FB1"/>
    <w:rsid w:val="6D695244"/>
    <w:rsid w:val="6D6B0BCD"/>
    <w:rsid w:val="6D6D6950"/>
    <w:rsid w:val="6D6F325B"/>
    <w:rsid w:val="6D800F2A"/>
    <w:rsid w:val="6D842E46"/>
    <w:rsid w:val="6D855A48"/>
    <w:rsid w:val="6D910891"/>
    <w:rsid w:val="6DA47ADA"/>
    <w:rsid w:val="6DA746FF"/>
    <w:rsid w:val="6DAE7760"/>
    <w:rsid w:val="6DB44638"/>
    <w:rsid w:val="6DBE0F5A"/>
    <w:rsid w:val="6DC5053A"/>
    <w:rsid w:val="6DD95D94"/>
    <w:rsid w:val="6DDD7632"/>
    <w:rsid w:val="6DE704B1"/>
    <w:rsid w:val="6DF160D4"/>
    <w:rsid w:val="6DF759BD"/>
    <w:rsid w:val="6E0B6B0F"/>
    <w:rsid w:val="6E172CFA"/>
    <w:rsid w:val="6E1E335D"/>
    <w:rsid w:val="6E3336F6"/>
    <w:rsid w:val="6E3B0DCE"/>
    <w:rsid w:val="6E470F4F"/>
    <w:rsid w:val="6E4846AB"/>
    <w:rsid w:val="6E492F1A"/>
    <w:rsid w:val="6E5362E1"/>
    <w:rsid w:val="6E541E8F"/>
    <w:rsid w:val="6E562D91"/>
    <w:rsid w:val="6E58315D"/>
    <w:rsid w:val="6E6D519A"/>
    <w:rsid w:val="6E71421E"/>
    <w:rsid w:val="6E731D44"/>
    <w:rsid w:val="6E74564B"/>
    <w:rsid w:val="6E800798"/>
    <w:rsid w:val="6EB1286D"/>
    <w:rsid w:val="6EB325D7"/>
    <w:rsid w:val="6EB658AF"/>
    <w:rsid w:val="6EBD238C"/>
    <w:rsid w:val="6EBF4DCD"/>
    <w:rsid w:val="6EDC5DEA"/>
    <w:rsid w:val="6EE60768"/>
    <w:rsid w:val="6EF56BFD"/>
    <w:rsid w:val="6EF71C32"/>
    <w:rsid w:val="6EFC327F"/>
    <w:rsid w:val="6EFD5AB2"/>
    <w:rsid w:val="6F0155A2"/>
    <w:rsid w:val="6F0C4AF6"/>
    <w:rsid w:val="6F1654F2"/>
    <w:rsid w:val="6F1C062E"/>
    <w:rsid w:val="6F1D6312"/>
    <w:rsid w:val="6F20011E"/>
    <w:rsid w:val="6F230371"/>
    <w:rsid w:val="6F236788"/>
    <w:rsid w:val="6F332872"/>
    <w:rsid w:val="6F3D5CFC"/>
    <w:rsid w:val="6F4E3703"/>
    <w:rsid w:val="6F5463C0"/>
    <w:rsid w:val="6F5C583F"/>
    <w:rsid w:val="6F5E21BF"/>
    <w:rsid w:val="6F604F44"/>
    <w:rsid w:val="6F6617E1"/>
    <w:rsid w:val="6F7155C6"/>
    <w:rsid w:val="6F732214"/>
    <w:rsid w:val="6F86068F"/>
    <w:rsid w:val="6F8655ED"/>
    <w:rsid w:val="6F981576"/>
    <w:rsid w:val="6FA523D2"/>
    <w:rsid w:val="6FA55376"/>
    <w:rsid w:val="6FA67EF8"/>
    <w:rsid w:val="6FAA3E8C"/>
    <w:rsid w:val="6FB40441"/>
    <w:rsid w:val="6FB40867"/>
    <w:rsid w:val="6FC64095"/>
    <w:rsid w:val="6FDE7692"/>
    <w:rsid w:val="6FDF7A4E"/>
    <w:rsid w:val="6FE53A64"/>
    <w:rsid w:val="6FE949B4"/>
    <w:rsid w:val="6FEC1DAE"/>
    <w:rsid w:val="6FEF1D95"/>
    <w:rsid w:val="6FEF20F7"/>
    <w:rsid w:val="6FF3138F"/>
    <w:rsid w:val="6FF332D2"/>
    <w:rsid w:val="7008010F"/>
    <w:rsid w:val="701800D2"/>
    <w:rsid w:val="70194B6E"/>
    <w:rsid w:val="701A2DBF"/>
    <w:rsid w:val="701D640C"/>
    <w:rsid w:val="701F5529"/>
    <w:rsid w:val="70206757"/>
    <w:rsid w:val="702C664F"/>
    <w:rsid w:val="7032421E"/>
    <w:rsid w:val="70337191"/>
    <w:rsid w:val="703419A7"/>
    <w:rsid w:val="703C4830"/>
    <w:rsid w:val="703F45D4"/>
    <w:rsid w:val="704C1DC4"/>
    <w:rsid w:val="705362D1"/>
    <w:rsid w:val="705B5186"/>
    <w:rsid w:val="7064403B"/>
    <w:rsid w:val="70644124"/>
    <w:rsid w:val="70683E41"/>
    <w:rsid w:val="706D5397"/>
    <w:rsid w:val="70710506"/>
    <w:rsid w:val="707E1F1A"/>
    <w:rsid w:val="708449FD"/>
    <w:rsid w:val="7086195B"/>
    <w:rsid w:val="708F5A70"/>
    <w:rsid w:val="709321A5"/>
    <w:rsid w:val="709E52EB"/>
    <w:rsid w:val="709F5073"/>
    <w:rsid w:val="70A947E0"/>
    <w:rsid w:val="70B12452"/>
    <w:rsid w:val="70B61ED2"/>
    <w:rsid w:val="70B86135"/>
    <w:rsid w:val="70BC3E77"/>
    <w:rsid w:val="70BC7FB3"/>
    <w:rsid w:val="70C1323B"/>
    <w:rsid w:val="70CC740D"/>
    <w:rsid w:val="70DA00E7"/>
    <w:rsid w:val="70E231B8"/>
    <w:rsid w:val="70E37655"/>
    <w:rsid w:val="70F52EE5"/>
    <w:rsid w:val="70FA674D"/>
    <w:rsid w:val="710B264B"/>
    <w:rsid w:val="712266D4"/>
    <w:rsid w:val="7129448C"/>
    <w:rsid w:val="71322D6F"/>
    <w:rsid w:val="713E764C"/>
    <w:rsid w:val="71494FDF"/>
    <w:rsid w:val="714A6598"/>
    <w:rsid w:val="7155741A"/>
    <w:rsid w:val="7155779A"/>
    <w:rsid w:val="715972E5"/>
    <w:rsid w:val="715F4802"/>
    <w:rsid w:val="716342F2"/>
    <w:rsid w:val="717A163C"/>
    <w:rsid w:val="71812492"/>
    <w:rsid w:val="71862B21"/>
    <w:rsid w:val="71875C7C"/>
    <w:rsid w:val="718801FD"/>
    <w:rsid w:val="718951D9"/>
    <w:rsid w:val="718A7AD1"/>
    <w:rsid w:val="718F158B"/>
    <w:rsid w:val="71937EC3"/>
    <w:rsid w:val="71941583"/>
    <w:rsid w:val="71990047"/>
    <w:rsid w:val="71AF5789"/>
    <w:rsid w:val="71B04924"/>
    <w:rsid w:val="71B2527A"/>
    <w:rsid w:val="71B47D1E"/>
    <w:rsid w:val="71BC3A02"/>
    <w:rsid w:val="71BE3F25"/>
    <w:rsid w:val="71DE7ACB"/>
    <w:rsid w:val="71E811B4"/>
    <w:rsid w:val="71EA4129"/>
    <w:rsid w:val="71F03243"/>
    <w:rsid w:val="71F66F14"/>
    <w:rsid w:val="71F716FC"/>
    <w:rsid w:val="71F907B3"/>
    <w:rsid w:val="71FD74C1"/>
    <w:rsid w:val="72037883"/>
    <w:rsid w:val="721455EC"/>
    <w:rsid w:val="721815DF"/>
    <w:rsid w:val="7219720F"/>
    <w:rsid w:val="72231CD3"/>
    <w:rsid w:val="722C2936"/>
    <w:rsid w:val="72304E51"/>
    <w:rsid w:val="72342516"/>
    <w:rsid w:val="723563E3"/>
    <w:rsid w:val="723D0878"/>
    <w:rsid w:val="724C5965"/>
    <w:rsid w:val="7251239D"/>
    <w:rsid w:val="72534367"/>
    <w:rsid w:val="727B4EA6"/>
    <w:rsid w:val="727D3056"/>
    <w:rsid w:val="727D5888"/>
    <w:rsid w:val="728F6CCB"/>
    <w:rsid w:val="7299A839"/>
    <w:rsid w:val="729F135A"/>
    <w:rsid w:val="729F75AC"/>
    <w:rsid w:val="72A131D7"/>
    <w:rsid w:val="72A427F2"/>
    <w:rsid w:val="72B31656"/>
    <w:rsid w:val="72B8066E"/>
    <w:rsid w:val="72C45265"/>
    <w:rsid w:val="72C74D55"/>
    <w:rsid w:val="72C845B0"/>
    <w:rsid w:val="72DC2046"/>
    <w:rsid w:val="72DD00D4"/>
    <w:rsid w:val="72DD1E82"/>
    <w:rsid w:val="72E43211"/>
    <w:rsid w:val="72EF11E4"/>
    <w:rsid w:val="72F0605A"/>
    <w:rsid w:val="72F773E8"/>
    <w:rsid w:val="72FC49FE"/>
    <w:rsid w:val="72FF72E0"/>
    <w:rsid w:val="73005B71"/>
    <w:rsid w:val="73096FF1"/>
    <w:rsid w:val="7315161C"/>
    <w:rsid w:val="732146AA"/>
    <w:rsid w:val="73217FC1"/>
    <w:rsid w:val="732C4972"/>
    <w:rsid w:val="73325C78"/>
    <w:rsid w:val="7334320B"/>
    <w:rsid w:val="733676C5"/>
    <w:rsid w:val="733D66E3"/>
    <w:rsid w:val="734036B8"/>
    <w:rsid w:val="7343343F"/>
    <w:rsid w:val="73447F37"/>
    <w:rsid w:val="734737A0"/>
    <w:rsid w:val="734E1497"/>
    <w:rsid w:val="735465E8"/>
    <w:rsid w:val="73546FBE"/>
    <w:rsid w:val="735A3AF5"/>
    <w:rsid w:val="735C549D"/>
    <w:rsid w:val="735C724B"/>
    <w:rsid w:val="73632333"/>
    <w:rsid w:val="7367112D"/>
    <w:rsid w:val="736B748E"/>
    <w:rsid w:val="736F0DD2"/>
    <w:rsid w:val="737259EB"/>
    <w:rsid w:val="737261D5"/>
    <w:rsid w:val="737609BC"/>
    <w:rsid w:val="73895E9E"/>
    <w:rsid w:val="738A4A67"/>
    <w:rsid w:val="73974727"/>
    <w:rsid w:val="73A033C8"/>
    <w:rsid w:val="73A11AEB"/>
    <w:rsid w:val="73B40E35"/>
    <w:rsid w:val="73BC70A2"/>
    <w:rsid w:val="73BE25EF"/>
    <w:rsid w:val="73BE28AA"/>
    <w:rsid w:val="73C3376E"/>
    <w:rsid w:val="73C46C62"/>
    <w:rsid w:val="73C7645B"/>
    <w:rsid w:val="73CC4F4E"/>
    <w:rsid w:val="73D4607F"/>
    <w:rsid w:val="73D56224"/>
    <w:rsid w:val="73D74E88"/>
    <w:rsid w:val="73ED07EB"/>
    <w:rsid w:val="73EF2A16"/>
    <w:rsid w:val="73F22F72"/>
    <w:rsid w:val="73F4104B"/>
    <w:rsid w:val="73F5125C"/>
    <w:rsid w:val="740022CC"/>
    <w:rsid w:val="740A00A1"/>
    <w:rsid w:val="741B5358"/>
    <w:rsid w:val="741F3407"/>
    <w:rsid w:val="74234295"/>
    <w:rsid w:val="74252F3B"/>
    <w:rsid w:val="742712D5"/>
    <w:rsid w:val="742A33B8"/>
    <w:rsid w:val="743106D8"/>
    <w:rsid w:val="74351074"/>
    <w:rsid w:val="74365CEE"/>
    <w:rsid w:val="743B172B"/>
    <w:rsid w:val="743B50B2"/>
    <w:rsid w:val="743C308F"/>
    <w:rsid w:val="744636A7"/>
    <w:rsid w:val="74483CF9"/>
    <w:rsid w:val="744B7EB1"/>
    <w:rsid w:val="7452592D"/>
    <w:rsid w:val="745B7503"/>
    <w:rsid w:val="746A3BEA"/>
    <w:rsid w:val="746A63F0"/>
    <w:rsid w:val="74780421"/>
    <w:rsid w:val="74827FC1"/>
    <w:rsid w:val="749110E4"/>
    <w:rsid w:val="74980757"/>
    <w:rsid w:val="74A0760B"/>
    <w:rsid w:val="74AB65E8"/>
    <w:rsid w:val="74C21C21"/>
    <w:rsid w:val="74D13385"/>
    <w:rsid w:val="74D2336D"/>
    <w:rsid w:val="74D829C8"/>
    <w:rsid w:val="74D93B7D"/>
    <w:rsid w:val="74DA48CB"/>
    <w:rsid w:val="74DF1EE2"/>
    <w:rsid w:val="74E37578"/>
    <w:rsid w:val="74E53270"/>
    <w:rsid w:val="74EB4E5D"/>
    <w:rsid w:val="74F02341"/>
    <w:rsid w:val="75026131"/>
    <w:rsid w:val="75047B9A"/>
    <w:rsid w:val="750758DC"/>
    <w:rsid w:val="751D0C5C"/>
    <w:rsid w:val="7524023C"/>
    <w:rsid w:val="75243513"/>
    <w:rsid w:val="752C0E9F"/>
    <w:rsid w:val="753A35BC"/>
    <w:rsid w:val="753D4E5A"/>
    <w:rsid w:val="75491A51"/>
    <w:rsid w:val="754A392B"/>
    <w:rsid w:val="75501031"/>
    <w:rsid w:val="755551CB"/>
    <w:rsid w:val="755A1962"/>
    <w:rsid w:val="755D5921"/>
    <w:rsid w:val="7561323F"/>
    <w:rsid w:val="756F1F34"/>
    <w:rsid w:val="756F231B"/>
    <w:rsid w:val="75741257"/>
    <w:rsid w:val="75752846"/>
    <w:rsid w:val="75760676"/>
    <w:rsid w:val="75801B52"/>
    <w:rsid w:val="75866801"/>
    <w:rsid w:val="759058D2"/>
    <w:rsid w:val="75930F1E"/>
    <w:rsid w:val="75933945"/>
    <w:rsid w:val="759E344D"/>
    <w:rsid w:val="75A44ED9"/>
    <w:rsid w:val="75A650F5"/>
    <w:rsid w:val="75AF2787"/>
    <w:rsid w:val="75B0387E"/>
    <w:rsid w:val="75B62E59"/>
    <w:rsid w:val="75C13CDD"/>
    <w:rsid w:val="75C17839"/>
    <w:rsid w:val="75CB0111"/>
    <w:rsid w:val="75D330E5"/>
    <w:rsid w:val="75D75FB2"/>
    <w:rsid w:val="75D90082"/>
    <w:rsid w:val="75DB4D9F"/>
    <w:rsid w:val="75DC4673"/>
    <w:rsid w:val="75E65EED"/>
    <w:rsid w:val="75EA4FE2"/>
    <w:rsid w:val="75F25C45"/>
    <w:rsid w:val="75F90ED3"/>
    <w:rsid w:val="760065B4"/>
    <w:rsid w:val="76081256"/>
    <w:rsid w:val="760931A5"/>
    <w:rsid w:val="760C7D56"/>
    <w:rsid w:val="76137A7A"/>
    <w:rsid w:val="762D5F9A"/>
    <w:rsid w:val="76303243"/>
    <w:rsid w:val="763739CF"/>
    <w:rsid w:val="763C3364"/>
    <w:rsid w:val="763F21AA"/>
    <w:rsid w:val="7650708B"/>
    <w:rsid w:val="765E152C"/>
    <w:rsid w:val="765F5297"/>
    <w:rsid w:val="765F75BE"/>
    <w:rsid w:val="76622AB4"/>
    <w:rsid w:val="76642274"/>
    <w:rsid w:val="76670D47"/>
    <w:rsid w:val="766D79C1"/>
    <w:rsid w:val="7677064E"/>
    <w:rsid w:val="76790114"/>
    <w:rsid w:val="767E572A"/>
    <w:rsid w:val="768C7E47"/>
    <w:rsid w:val="769244D3"/>
    <w:rsid w:val="76960CC6"/>
    <w:rsid w:val="7697080C"/>
    <w:rsid w:val="76982C90"/>
    <w:rsid w:val="76A520C7"/>
    <w:rsid w:val="76A7225D"/>
    <w:rsid w:val="76B37ACA"/>
    <w:rsid w:val="76B4114C"/>
    <w:rsid w:val="76B441CE"/>
    <w:rsid w:val="76B850E0"/>
    <w:rsid w:val="76C53359"/>
    <w:rsid w:val="76C9109B"/>
    <w:rsid w:val="76CF0AFE"/>
    <w:rsid w:val="76D05AB1"/>
    <w:rsid w:val="76D20E74"/>
    <w:rsid w:val="76DA32A9"/>
    <w:rsid w:val="76DB2B7D"/>
    <w:rsid w:val="76DE1A70"/>
    <w:rsid w:val="76E11887"/>
    <w:rsid w:val="76E61C4D"/>
    <w:rsid w:val="77185B7F"/>
    <w:rsid w:val="771D3195"/>
    <w:rsid w:val="771D4F43"/>
    <w:rsid w:val="77203279"/>
    <w:rsid w:val="77250CE5"/>
    <w:rsid w:val="7725204A"/>
    <w:rsid w:val="772C1EFF"/>
    <w:rsid w:val="77322AA0"/>
    <w:rsid w:val="77396A0F"/>
    <w:rsid w:val="774C75D7"/>
    <w:rsid w:val="774F4C86"/>
    <w:rsid w:val="775139BC"/>
    <w:rsid w:val="77536BB7"/>
    <w:rsid w:val="775A0BA1"/>
    <w:rsid w:val="77655446"/>
    <w:rsid w:val="7769462C"/>
    <w:rsid w:val="776D089A"/>
    <w:rsid w:val="77763CE3"/>
    <w:rsid w:val="777803CC"/>
    <w:rsid w:val="777C6BEE"/>
    <w:rsid w:val="778C5E8E"/>
    <w:rsid w:val="779A2A38"/>
    <w:rsid w:val="77B51620"/>
    <w:rsid w:val="77BE31C6"/>
    <w:rsid w:val="77C96E79"/>
    <w:rsid w:val="77CB541D"/>
    <w:rsid w:val="77CD4ACC"/>
    <w:rsid w:val="77D15838"/>
    <w:rsid w:val="77D72FA7"/>
    <w:rsid w:val="77D73344"/>
    <w:rsid w:val="77D743A5"/>
    <w:rsid w:val="77D870BC"/>
    <w:rsid w:val="77D9530E"/>
    <w:rsid w:val="77DE46D3"/>
    <w:rsid w:val="77E15F71"/>
    <w:rsid w:val="77E2548D"/>
    <w:rsid w:val="77E45A7F"/>
    <w:rsid w:val="77EE068E"/>
    <w:rsid w:val="77F0388B"/>
    <w:rsid w:val="78033A1E"/>
    <w:rsid w:val="780E25C1"/>
    <w:rsid w:val="781115FC"/>
    <w:rsid w:val="78135C25"/>
    <w:rsid w:val="78171BE7"/>
    <w:rsid w:val="782E3A5D"/>
    <w:rsid w:val="78411105"/>
    <w:rsid w:val="78413FD1"/>
    <w:rsid w:val="784144B5"/>
    <w:rsid w:val="78430838"/>
    <w:rsid w:val="784309DA"/>
    <w:rsid w:val="784C3D32"/>
    <w:rsid w:val="78623556"/>
    <w:rsid w:val="78643617"/>
    <w:rsid w:val="788E2390"/>
    <w:rsid w:val="78A17F20"/>
    <w:rsid w:val="78A43B05"/>
    <w:rsid w:val="78A55013"/>
    <w:rsid w:val="78A76A06"/>
    <w:rsid w:val="78A97106"/>
    <w:rsid w:val="78CF20E1"/>
    <w:rsid w:val="78D775D2"/>
    <w:rsid w:val="78D833FF"/>
    <w:rsid w:val="78DB5727"/>
    <w:rsid w:val="78DD3CE3"/>
    <w:rsid w:val="78E77BE4"/>
    <w:rsid w:val="78ED0487"/>
    <w:rsid w:val="78F30652"/>
    <w:rsid w:val="78FD2FDA"/>
    <w:rsid w:val="79053EE1"/>
    <w:rsid w:val="790A7749"/>
    <w:rsid w:val="79134850"/>
    <w:rsid w:val="791365FE"/>
    <w:rsid w:val="79142800"/>
    <w:rsid w:val="79303730"/>
    <w:rsid w:val="79382508"/>
    <w:rsid w:val="793D18CD"/>
    <w:rsid w:val="794123D1"/>
    <w:rsid w:val="794A5A1C"/>
    <w:rsid w:val="79515418"/>
    <w:rsid w:val="7957181A"/>
    <w:rsid w:val="795A422D"/>
    <w:rsid w:val="796F05D4"/>
    <w:rsid w:val="7972045E"/>
    <w:rsid w:val="797F5A41"/>
    <w:rsid w:val="79815C5D"/>
    <w:rsid w:val="798F2021"/>
    <w:rsid w:val="79914641"/>
    <w:rsid w:val="79984959"/>
    <w:rsid w:val="799A50B2"/>
    <w:rsid w:val="799C3F57"/>
    <w:rsid w:val="79A4194C"/>
    <w:rsid w:val="79A51C73"/>
    <w:rsid w:val="79A715B3"/>
    <w:rsid w:val="79AA36CA"/>
    <w:rsid w:val="79B20CE6"/>
    <w:rsid w:val="79B40A4E"/>
    <w:rsid w:val="79BA116F"/>
    <w:rsid w:val="79C8550A"/>
    <w:rsid w:val="79D1798A"/>
    <w:rsid w:val="79DC2E94"/>
    <w:rsid w:val="79E007A3"/>
    <w:rsid w:val="79E24222"/>
    <w:rsid w:val="79E9392D"/>
    <w:rsid w:val="79EE2BC7"/>
    <w:rsid w:val="79F20909"/>
    <w:rsid w:val="79FA156C"/>
    <w:rsid w:val="79FA389E"/>
    <w:rsid w:val="7A007DDB"/>
    <w:rsid w:val="7A170370"/>
    <w:rsid w:val="7A1C4878"/>
    <w:rsid w:val="7A1E525A"/>
    <w:rsid w:val="7A1E6500"/>
    <w:rsid w:val="7A205476"/>
    <w:rsid w:val="7A212F9C"/>
    <w:rsid w:val="7A2A44F3"/>
    <w:rsid w:val="7A2D28D6"/>
    <w:rsid w:val="7A2D36EF"/>
    <w:rsid w:val="7A313A10"/>
    <w:rsid w:val="7A455D98"/>
    <w:rsid w:val="7A4E6D1A"/>
    <w:rsid w:val="7A4F254E"/>
    <w:rsid w:val="7A513882"/>
    <w:rsid w:val="7A584D5B"/>
    <w:rsid w:val="7A6A33BA"/>
    <w:rsid w:val="7A6D3881"/>
    <w:rsid w:val="7A7C01D3"/>
    <w:rsid w:val="7A811C8D"/>
    <w:rsid w:val="7A8442E1"/>
    <w:rsid w:val="7A9A0C38"/>
    <w:rsid w:val="7AA137B0"/>
    <w:rsid w:val="7AA35626"/>
    <w:rsid w:val="7AA7180D"/>
    <w:rsid w:val="7AAC0AB8"/>
    <w:rsid w:val="7AB930CE"/>
    <w:rsid w:val="7AC05268"/>
    <w:rsid w:val="7AC2652D"/>
    <w:rsid w:val="7ACF4F8D"/>
    <w:rsid w:val="7AD07232"/>
    <w:rsid w:val="7ADA475A"/>
    <w:rsid w:val="7ADD5115"/>
    <w:rsid w:val="7AE5675B"/>
    <w:rsid w:val="7AE7575A"/>
    <w:rsid w:val="7AF44A09"/>
    <w:rsid w:val="7AF525A0"/>
    <w:rsid w:val="7AF86BB8"/>
    <w:rsid w:val="7AF92F43"/>
    <w:rsid w:val="7B0216C6"/>
    <w:rsid w:val="7B057AFA"/>
    <w:rsid w:val="7B112071"/>
    <w:rsid w:val="7B130B37"/>
    <w:rsid w:val="7B1936C4"/>
    <w:rsid w:val="7B2122FD"/>
    <w:rsid w:val="7B234AF2"/>
    <w:rsid w:val="7B2368A0"/>
    <w:rsid w:val="7B3E0C33"/>
    <w:rsid w:val="7B3F680F"/>
    <w:rsid w:val="7B6475E5"/>
    <w:rsid w:val="7B6E27CA"/>
    <w:rsid w:val="7B6E3FBF"/>
    <w:rsid w:val="7B7315D6"/>
    <w:rsid w:val="7B7A5488"/>
    <w:rsid w:val="7B810A3B"/>
    <w:rsid w:val="7B942FDF"/>
    <w:rsid w:val="7B95521D"/>
    <w:rsid w:val="7BA85CFD"/>
    <w:rsid w:val="7BB6475C"/>
    <w:rsid w:val="7BB71710"/>
    <w:rsid w:val="7BC329AE"/>
    <w:rsid w:val="7BCA2F75"/>
    <w:rsid w:val="7BCC60ED"/>
    <w:rsid w:val="7BD00D42"/>
    <w:rsid w:val="7BDC65F1"/>
    <w:rsid w:val="7BEB5610"/>
    <w:rsid w:val="7BF2699E"/>
    <w:rsid w:val="7BFC1EB5"/>
    <w:rsid w:val="7BFC5A6F"/>
    <w:rsid w:val="7C054BA7"/>
    <w:rsid w:val="7C06069C"/>
    <w:rsid w:val="7C065DC5"/>
    <w:rsid w:val="7C08483A"/>
    <w:rsid w:val="7C093CE8"/>
    <w:rsid w:val="7C1E59E5"/>
    <w:rsid w:val="7C2A4D43"/>
    <w:rsid w:val="7C305FE2"/>
    <w:rsid w:val="7C330D65"/>
    <w:rsid w:val="7C377987"/>
    <w:rsid w:val="7C3A6C6F"/>
    <w:rsid w:val="7C3C1B8D"/>
    <w:rsid w:val="7C4D1B3A"/>
    <w:rsid w:val="7C4D5BD3"/>
    <w:rsid w:val="7C506214"/>
    <w:rsid w:val="7C6C7A03"/>
    <w:rsid w:val="7C7A54A1"/>
    <w:rsid w:val="7C7C270C"/>
    <w:rsid w:val="7C7E6484"/>
    <w:rsid w:val="7C8B0BA1"/>
    <w:rsid w:val="7C905129"/>
    <w:rsid w:val="7C9B7036"/>
    <w:rsid w:val="7C9C30A6"/>
    <w:rsid w:val="7CA659DB"/>
    <w:rsid w:val="7CAD1BE5"/>
    <w:rsid w:val="7CB1685A"/>
    <w:rsid w:val="7CB50FA6"/>
    <w:rsid w:val="7CB7E803"/>
    <w:rsid w:val="7CC1754E"/>
    <w:rsid w:val="7CCD11BA"/>
    <w:rsid w:val="7CD97CA5"/>
    <w:rsid w:val="7CE01269"/>
    <w:rsid w:val="7CE81B50"/>
    <w:rsid w:val="7CF16C86"/>
    <w:rsid w:val="7CF46746"/>
    <w:rsid w:val="7CF95B0B"/>
    <w:rsid w:val="7CFC48F2"/>
    <w:rsid w:val="7D05696E"/>
    <w:rsid w:val="7D083FA0"/>
    <w:rsid w:val="7D0C2ED7"/>
    <w:rsid w:val="7D124F47"/>
    <w:rsid w:val="7D1771D4"/>
    <w:rsid w:val="7D1B1A69"/>
    <w:rsid w:val="7D1E37C3"/>
    <w:rsid w:val="7D245A03"/>
    <w:rsid w:val="7D2D3A06"/>
    <w:rsid w:val="7D2F777E"/>
    <w:rsid w:val="7D3134F6"/>
    <w:rsid w:val="7D3C6F98"/>
    <w:rsid w:val="7D546A18"/>
    <w:rsid w:val="7D5D42EC"/>
    <w:rsid w:val="7D657644"/>
    <w:rsid w:val="7D6676DB"/>
    <w:rsid w:val="7D6853C6"/>
    <w:rsid w:val="7D7D498E"/>
    <w:rsid w:val="7D7E5DB2"/>
    <w:rsid w:val="7D8D7F3F"/>
    <w:rsid w:val="7D914D0C"/>
    <w:rsid w:val="7D9A250E"/>
    <w:rsid w:val="7D9E2F5A"/>
    <w:rsid w:val="7DB855BA"/>
    <w:rsid w:val="7DB93D46"/>
    <w:rsid w:val="7DC02AF4"/>
    <w:rsid w:val="7DC53D98"/>
    <w:rsid w:val="7DC551D9"/>
    <w:rsid w:val="7DC840FF"/>
    <w:rsid w:val="7DC91981"/>
    <w:rsid w:val="7DCB394B"/>
    <w:rsid w:val="7DCD5006"/>
    <w:rsid w:val="7DD10836"/>
    <w:rsid w:val="7DD24CD9"/>
    <w:rsid w:val="7DD547CA"/>
    <w:rsid w:val="7DD81BC4"/>
    <w:rsid w:val="7DDA68C9"/>
    <w:rsid w:val="7DE0334C"/>
    <w:rsid w:val="7DE06CCB"/>
    <w:rsid w:val="7DE42847"/>
    <w:rsid w:val="7DF06F0E"/>
    <w:rsid w:val="7DF13675"/>
    <w:rsid w:val="7DF247BD"/>
    <w:rsid w:val="7E0535DA"/>
    <w:rsid w:val="7E096221"/>
    <w:rsid w:val="7E0B2B36"/>
    <w:rsid w:val="7E17093E"/>
    <w:rsid w:val="7E226269"/>
    <w:rsid w:val="7E33504C"/>
    <w:rsid w:val="7E3E411D"/>
    <w:rsid w:val="7E437985"/>
    <w:rsid w:val="7E5C45A3"/>
    <w:rsid w:val="7E5D74F0"/>
    <w:rsid w:val="7E5F22E5"/>
    <w:rsid w:val="7E60325B"/>
    <w:rsid w:val="7E647FC4"/>
    <w:rsid w:val="7E835FD4"/>
    <w:rsid w:val="7E8558FB"/>
    <w:rsid w:val="7E913C02"/>
    <w:rsid w:val="7E94074B"/>
    <w:rsid w:val="7E995AFF"/>
    <w:rsid w:val="7E9976FC"/>
    <w:rsid w:val="7E9C5E89"/>
    <w:rsid w:val="7EA27E00"/>
    <w:rsid w:val="7EA30424"/>
    <w:rsid w:val="7EA85AB2"/>
    <w:rsid w:val="7EB35B77"/>
    <w:rsid w:val="7EB52EC3"/>
    <w:rsid w:val="7EBB49F0"/>
    <w:rsid w:val="7EBF6618"/>
    <w:rsid w:val="7EC30AC6"/>
    <w:rsid w:val="7EC61A85"/>
    <w:rsid w:val="7ECF67E6"/>
    <w:rsid w:val="7ED22876"/>
    <w:rsid w:val="7ED835C2"/>
    <w:rsid w:val="7EDD589D"/>
    <w:rsid w:val="7EE279D7"/>
    <w:rsid w:val="7EE556F5"/>
    <w:rsid w:val="7EEB13A2"/>
    <w:rsid w:val="7EF24F07"/>
    <w:rsid w:val="7EF40C80"/>
    <w:rsid w:val="7EF641FF"/>
    <w:rsid w:val="7EF84FD8"/>
    <w:rsid w:val="7EF850EA"/>
    <w:rsid w:val="7EFC5B0D"/>
    <w:rsid w:val="7F005876"/>
    <w:rsid w:val="7F0263EF"/>
    <w:rsid w:val="7F031DD8"/>
    <w:rsid w:val="7F054C3B"/>
    <w:rsid w:val="7F0864D9"/>
    <w:rsid w:val="7F0A623D"/>
    <w:rsid w:val="7F2A7876"/>
    <w:rsid w:val="7F363046"/>
    <w:rsid w:val="7F382956"/>
    <w:rsid w:val="7F3844F1"/>
    <w:rsid w:val="7F3E5C19"/>
    <w:rsid w:val="7F3E7FE6"/>
    <w:rsid w:val="7F400D93"/>
    <w:rsid w:val="7F4219EB"/>
    <w:rsid w:val="7F4A2010"/>
    <w:rsid w:val="7F4F5E5A"/>
    <w:rsid w:val="7F515927"/>
    <w:rsid w:val="7F5F5430"/>
    <w:rsid w:val="7F601E71"/>
    <w:rsid w:val="7F8A5140"/>
    <w:rsid w:val="7F8D1B23"/>
    <w:rsid w:val="7F927790"/>
    <w:rsid w:val="7F9774A1"/>
    <w:rsid w:val="7F9A5E1D"/>
    <w:rsid w:val="7FA0496A"/>
    <w:rsid w:val="7FA34FA1"/>
    <w:rsid w:val="7FA4381C"/>
    <w:rsid w:val="7FAD3E96"/>
    <w:rsid w:val="7FB81332"/>
    <w:rsid w:val="7FBC5C32"/>
    <w:rsid w:val="7FCD7EE4"/>
    <w:rsid w:val="7FD0349B"/>
    <w:rsid w:val="7FD340FE"/>
    <w:rsid w:val="7FDB599C"/>
    <w:rsid w:val="7FE40CF4"/>
    <w:rsid w:val="7FF15651"/>
    <w:rsid w:val="7FF8479F"/>
    <w:rsid w:val="7FFD5455"/>
    <w:rsid w:val="8FDEB485"/>
    <w:rsid w:val="BBFFE97B"/>
    <w:rsid w:val="C7F7B7EB"/>
    <w:rsid w:val="CEFD9EF3"/>
    <w:rsid w:val="DB5FD947"/>
    <w:rsid w:val="DFF70F64"/>
    <w:rsid w:val="DFF76BEA"/>
    <w:rsid w:val="E9B3EA56"/>
    <w:rsid w:val="EBFF0E7F"/>
    <w:rsid w:val="EDFB9273"/>
    <w:rsid w:val="F6D98222"/>
    <w:rsid w:val="FEEBF1E1"/>
    <w:rsid w:val="FEFB1130"/>
    <w:rsid w:val="FFBEAE3A"/>
    <w:rsid w:val="FFFE5C7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99" w:semiHidden="0" w:name="envelope return"/>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qFormat="1" w:unhideWhenUsed="0" w:uiPriority="99" w:name="List Bullet 2"/>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name="FollowedHyperlink"/>
    <w:lsdException w:qFormat="1" w:unhideWhenUsed="0" w:uiPriority="0"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qFormat="1" w:uiPriority="99" w:name="HTML Code" w:locked="1"/>
    <w:lsdException w:uiPriority="99" w:name="HTML Definition" w:locked="1"/>
    <w:lsdException w:qFormat="1" w:uiPriority="99" w:name="HTML Keyboard" w:locked="1"/>
    <w:lsdException w:uiPriority="99" w:name="HTML Preformatted" w:locked="1"/>
    <w:lsdException w:qFormat="1"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11">
    <w:name w:val="heading 1"/>
    <w:basedOn w:val="1"/>
    <w:next w:val="1"/>
    <w:link w:val="44"/>
    <w:qFormat/>
    <w:uiPriority w:val="99"/>
    <w:pPr>
      <w:keepNext/>
      <w:keepLines/>
      <w:spacing w:before="340" w:after="330" w:line="578" w:lineRule="auto"/>
      <w:outlineLvl w:val="0"/>
    </w:pPr>
    <w:rPr>
      <w:b/>
      <w:bCs/>
      <w:kern w:val="44"/>
      <w:sz w:val="44"/>
      <w:szCs w:val="44"/>
      <w:lang w:val="zh-CN"/>
    </w:rPr>
  </w:style>
  <w:style w:type="paragraph" w:styleId="12">
    <w:name w:val="heading 2"/>
    <w:basedOn w:val="1"/>
    <w:next w:val="13"/>
    <w:link w:val="78"/>
    <w:qFormat/>
    <w:uiPriority w:val="99"/>
    <w:pPr>
      <w:keepNext/>
      <w:keepLines/>
      <w:spacing w:before="260" w:after="260" w:line="416" w:lineRule="auto"/>
      <w:outlineLvl w:val="1"/>
    </w:pPr>
    <w:rPr>
      <w:rFonts w:ascii="Cambria" w:hAnsi="Cambria"/>
      <w:b/>
      <w:bCs/>
      <w:sz w:val="32"/>
      <w:szCs w:val="32"/>
    </w:rPr>
  </w:style>
  <w:style w:type="paragraph" w:styleId="14">
    <w:name w:val="heading 3"/>
    <w:basedOn w:val="1"/>
    <w:next w:val="1"/>
    <w:link w:val="46"/>
    <w:qFormat/>
    <w:uiPriority w:val="99"/>
    <w:pPr>
      <w:keepNext/>
      <w:keepLines/>
      <w:spacing w:before="260" w:after="260" w:line="416" w:lineRule="auto"/>
      <w:outlineLvl w:val="2"/>
    </w:pPr>
    <w:rPr>
      <w:b/>
      <w:bCs/>
      <w:sz w:val="24"/>
      <w:szCs w:val="32"/>
    </w:rPr>
  </w:style>
  <w:style w:type="character" w:default="1" w:styleId="35">
    <w:name w:val="Default Paragraph Font"/>
    <w:semiHidden/>
    <w:qFormat/>
    <w:uiPriority w:val="99"/>
  </w:style>
  <w:style w:type="table" w:default="1" w:styleId="33">
    <w:name w:val="Normal Table"/>
    <w:semiHidden/>
    <w:unhideWhenUsed/>
    <w:qFormat/>
    <w:uiPriority w:val="99"/>
    <w:tblPr>
      <w:tblCellMar>
        <w:top w:w="0" w:type="dxa"/>
        <w:left w:w="108" w:type="dxa"/>
        <w:bottom w:w="0" w:type="dxa"/>
        <w:right w:w="108" w:type="dxa"/>
      </w:tblCellMar>
    </w:tblPr>
  </w:style>
  <w:style w:type="paragraph" w:customStyle="1" w:styleId="2">
    <w:name w:val="正文（缩进）"/>
    <w:basedOn w:val="3"/>
    <w:next w:val="4"/>
    <w:qFormat/>
    <w:uiPriority w:val="99"/>
    <w:pPr>
      <w:autoSpaceDE w:val="0"/>
      <w:autoSpaceDN w:val="0"/>
      <w:spacing w:line="360" w:lineRule="auto"/>
      <w:ind w:firstLine="200" w:firstLineChars="200"/>
    </w:pPr>
    <w:rPr>
      <w:rFonts w:ascii="宋体" w:hAnsi="宋体"/>
      <w:kern w:val="0"/>
      <w:szCs w:val="28"/>
    </w:rPr>
  </w:style>
  <w:style w:type="paragraph" w:customStyle="1" w:styleId="3">
    <w:name w:val="正文_2_0"/>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
    <w:name w:val="Char Char Char Char Char Char Char Char Char"/>
    <w:basedOn w:val="1"/>
    <w:next w:val="5"/>
    <w:qFormat/>
    <w:uiPriority w:val="99"/>
    <w:pPr>
      <w:tabs>
        <w:tab w:val="left" w:pos="360"/>
      </w:tabs>
      <w:ind w:left="360" w:hanging="360" w:hangingChars="200"/>
    </w:pPr>
    <w:rPr>
      <w:rFonts w:cs="宋体"/>
      <w:sz w:val="24"/>
      <w:szCs w:val="24"/>
      <w:lang w:val="zh-CN"/>
    </w:rPr>
  </w:style>
  <w:style w:type="paragraph" w:customStyle="1" w:styleId="5">
    <w:name w:val="正文文本 21"/>
    <w:basedOn w:val="1"/>
    <w:next w:val="6"/>
    <w:qFormat/>
    <w:uiPriority w:val="99"/>
    <w:pPr>
      <w:widowControl/>
      <w:overflowPunct w:val="0"/>
      <w:autoSpaceDE w:val="0"/>
      <w:autoSpaceDN w:val="0"/>
      <w:adjustRightInd w:val="0"/>
      <w:ind w:left="720" w:hanging="720"/>
      <w:textAlignment w:val="baseline"/>
    </w:pPr>
    <w:rPr>
      <w:rFonts w:cs="宋体"/>
      <w:sz w:val="24"/>
      <w:szCs w:val="20"/>
      <w:lang w:val="en-GB"/>
    </w:rPr>
  </w:style>
  <w:style w:type="paragraph" w:customStyle="1" w:styleId="6">
    <w:name w:val="默认段落字体 Para Char Char Char Char Char Char Char"/>
    <w:basedOn w:val="1"/>
    <w:next w:val="7"/>
    <w:qFormat/>
    <w:uiPriority w:val="99"/>
    <w:rPr>
      <w:rFonts w:cs="宋体"/>
      <w:sz w:val="20"/>
      <w:szCs w:val="20"/>
      <w:lang w:val="zh-CN"/>
    </w:rPr>
  </w:style>
  <w:style w:type="paragraph" w:customStyle="1" w:styleId="7">
    <w:name w:val="样式 首行缩进:  2 字符"/>
    <w:basedOn w:val="1"/>
    <w:next w:val="8"/>
    <w:qFormat/>
    <w:uiPriority w:val="99"/>
    <w:pPr>
      <w:spacing w:line="360" w:lineRule="auto"/>
      <w:ind w:firstLine="480" w:firstLineChars="200"/>
    </w:pPr>
    <w:rPr>
      <w:sz w:val="24"/>
      <w:szCs w:val="20"/>
    </w:rPr>
  </w:style>
  <w:style w:type="paragraph" w:customStyle="1" w:styleId="8">
    <w:name w:val="样式 段后: 0.25 行"/>
    <w:basedOn w:val="1"/>
    <w:next w:val="9"/>
    <w:qFormat/>
    <w:uiPriority w:val="99"/>
    <w:pPr>
      <w:widowControl/>
      <w:spacing w:afterLines="25" w:line="300" w:lineRule="auto"/>
      <w:ind w:firstLine="420" w:firstLineChars="200"/>
      <w:jc w:val="left"/>
    </w:pPr>
    <w:rPr>
      <w:rFonts w:ascii="Arial" w:hAnsi="Arial" w:cs="宋体"/>
      <w:sz w:val="22"/>
      <w:szCs w:val="20"/>
      <w:lang w:val="zh-CN" w:eastAsia="en-US"/>
    </w:rPr>
  </w:style>
  <w:style w:type="paragraph" w:customStyle="1" w:styleId="9">
    <w:name w:val="正文 New New New New New New New New New New New New New New"/>
    <w:next w:val="10"/>
    <w:qFormat/>
    <w:uiPriority w:val="99"/>
    <w:pPr>
      <w:widowControl w:val="0"/>
      <w:jc w:val="both"/>
    </w:pPr>
    <w:rPr>
      <w:rFonts w:ascii="Calibri" w:hAnsi="Calibri" w:eastAsia="宋体" w:cs="Times New Roman"/>
      <w:kern w:val="2"/>
      <w:sz w:val="21"/>
      <w:szCs w:val="20"/>
      <w:lang w:val="en-US" w:eastAsia="zh-CN" w:bidi="ar-SA"/>
    </w:rPr>
  </w:style>
  <w:style w:type="paragraph" w:styleId="10">
    <w:name w:val="toc 9"/>
    <w:basedOn w:val="1"/>
    <w:next w:val="1"/>
    <w:semiHidden/>
    <w:qFormat/>
    <w:uiPriority w:val="99"/>
    <w:pPr>
      <w:ind w:left="3360" w:leftChars="1600"/>
    </w:pPr>
  </w:style>
  <w:style w:type="paragraph" w:styleId="13">
    <w:name w:val="Normal Indent"/>
    <w:basedOn w:val="1"/>
    <w:link w:val="73"/>
    <w:qFormat/>
    <w:uiPriority w:val="99"/>
    <w:pPr>
      <w:ind w:firstLine="420" w:firstLineChars="200"/>
    </w:pPr>
    <w:rPr>
      <w:kern w:val="0"/>
      <w:sz w:val="20"/>
      <w:szCs w:val="20"/>
    </w:rPr>
  </w:style>
  <w:style w:type="paragraph" w:styleId="15">
    <w:name w:val="annotation text"/>
    <w:basedOn w:val="1"/>
    <w:link w:val="47"/>
    <w:semiHidden/>
    <w:qFormat/>
    <w:uiPriority w:val="99"/>
    <w:pPr>
      <w:jc w:val="left"/>
    </w:pPr>
  </w:style>
  <w:style w:type="paragraph" w:styleId="16">
    <w:name w:val="Body Text"/>
    <w:basedOn w:val="1"/>
    <w:link w:val="48"/>
    <w:qFormat/>
    <w:uiPriority w:val="99"/>
    <w:rPr>
      <w:rFonts w:ascii="楷体_GB2312" w:hAnsi="Arial" w:eastAsia="楷体_GB2312"/>
      <w:kern w:val="0"/>
      <w:sz w:val="28"/>
      <w:szCs w:val="28"/>
    </w:rPr>
  </w:style>
  <w:style w:type="paragraph" w:styleId="17">
    <w:name w:val="Body Text Indent"/>
    <w:basedOn w:val="1"/>
    <w:next w:val="18"/>
    <w:link w:val="49"/>
    <w:qFormat/>
    <w:uiPriority w:val="99"/>
    <w:pPr>
      <w:adjustRightInd w:val="0"/>
      <w:spacing w:line="312" w:lineRule="atLeast"/>
      <w:ind w:firstLine="574"/>
      <w:textAlignment w:val="baseline"/>
    </w:pPr>
    <w:rPr>
      <w:rFonts w:ascii="宋体"/>
      <w:kern w:val="0"/>
      <w:sz w:val="28"/>
    </w:rPr>
  </w:style>
  <w:style w:type="paragraph" w:styleId="18">
    <w:name w:val="envelope return"/>
    <w:basedOn w:val="1"/>
    <w:qFormat/>
    <w:uiPriority w:val="99"/>
    <w:pPr>
      <w:snapToGrid w:val="0"/>
      <w:spacing w:line="360" w:lineRule="auto"/>
      <w:ind w:firstLine="200" w:firstLineChars="200"/>
    </w:pPr>
    <w:rPr>
      <w:rFonts w:ascii="Arial" w:hAnsi="Arial" w:cs="Arial"/>
      <w:sz w:val="24"/>
      <w:szCs w:val="24"/>
    </w:rPr>
  </w:style>
  <w:style w:type="paragraph" w:styleId="19">
    <w:name w:val="List Bullet 2"/>
    <w:basedOn w:val="1"/>
    <w:semiHidden/>
    <w:qFormat/>
    <w:uiPriority w:val="99"/>
    <w:pPr>
      <w:numPr>
        <w:ilvl w:val="0"/>
        <w:numId w:val="1"/>
      </w:numPr>
    </w:pPr>
  </w:style>
  <w:style w:type="paragraph" w:styleId="20">
    <w:name w:val="index 4"/>
    <w:basedOn w:val="1"/>
    <w:next w:val="1"/>
    <w:qFormat/>
    <w:uiPriority w:val="99"/>
    <w:pPr>
      <w:ind w:left="1260"/>
    </w:pPr>
  </w:style>
  <w:style w:type="paragraph" w:styleId="21">
    <w:name w:val="Plain Text"/>
    <w:basedOn w:val="1"/>
    <w:link w:val="50"/>
    <w:qFormat/>
    <w:uiPriority w:val="99"/>
    <w:rPr>
      <w:rFonts w:ascii="宋体" w:hAnsi="Courier New"/>
      <w:kern w:val="0"/>
      <w:sz w:val="20"/>
      <w:szCs w:val="21"/>
    </w:rPr>
  </w:style>
  <w:style w:type="paragraph" w:styleId="22">
    <w:name w:val="Date"/>
    <w:basedOn w:val="1"/>
    <w:next w:val="1"/>
    <w:link w:val="51"/>
    <w:qFormat/>
    <w:uiPriority w:val="99"/>
    <w:rPr>
      <w:rFonts w:ascii="Times New Roman" w:hAnsi="Times New Roman"/>
      <w:kern w:val="0"/>
      <w:sz w:val="24"/>
      <w:szCs w:val="20"/>
    </w:rPr>
  </w:style>
  <w:style w:type="paragraph" w:styleId="23">
    <w:name w:val="Body Text Indent 2"/>
    <w:basedOn w:val="1"/>
    <w:link w:val="52"/>
    <w:qFormat/>
    <w:uiPriority w:val="99"/>
    <w:pPr>
      <w:spacing w:after="120" w:line="480" w:lineRule="auto"/>
      <w:ind w:left="640" w:leftChars="200"/>
    </w:pPr>
    <w:rPr>
      <w:rFonts w:eastAsia="仿宋_GB2312"/>
      <w:sz w:val="32"/>
      <w:szCs w:val="28"/>
    </w:rPr>
  </w:style>
  <w:style w:type="paragraph" w:styleId="24">
    <w:name w:val="Balloon Text"/>
    <w:basedOn w:val="1"/>
    <w:link w:val="53"/>
    <w:qFormat/>
    <w:uiPriority w:val="99"/>
    <w:rPr>
      <w:rFonts w:ascii="Times New Roman" w:hAnsi="Times New Roman"/>
      <w:sz w:val="18"/>
      <w:szCs w:val="18"/>
    </w:rPr>
  </w:style>
  <w:style w:type="paragraph" w:styleId="25">
    <w:name w:val="footer"/>
    <w:basedOn w:val="1"/>
    <w:link w:val="54"/>
    <w:qFormat/>
    <w:uiPriority w:val="99"/>
    <w:pPr>
      <w:tabs>
        <w:tab w:val="center" w:pos="4153"/>
        <w:tab w:val="right" w:pos="8306"/>
      </w:tabs>
      <w:snapToGrid w:val="0"/>
      <w:jc w:val="left"/>
    </w:pPr>
    <w:rPr>
      <w:kern w:val="0"/>
      <w:sz w:val="18"/>
      <w:szCs w:val="18"/>
      <w:lang w:val="zh-CN"/>
    </w:rPr>
  </w:style>
  <w:style w:type="paragraph" w:styleId="26">
    <w:name w:val="header"/>
    <w:basedOn w:val="1"/>
    <w:link w:val="55"/>
    <w:qFormat/>
    <w:uiPriority w:val="99"/>
    <w:pPr>
      <w:pBdr>
        <w:bottom w:val="single" w:color="auto" w:sz="6" w:space="1"/>
      </w:pBdr>
      <w:tabs>
        <w:tab w:val="center" w:pos="4153"/>
        <w:tab w:val="right" w:pos="8306"/>
      </w:tabs>
      <w:snapToGrid w:val="0"/>
      <w:jc w:val="center"/>
    </w:pPr>
    <w:rPr>
      <w:kern w:val="0"/>
      <w:sz w:val="18"/>
      <w:szCs w:val="18"/>
      <w:lang w:val="zh-CN"/>
    </w:rPr>
  </w:style>
  <w:style w:type="paragraph" w:styleId="27">
    <w:name w:val="toc 1"/>
    <w:basedOn w:val="1"/>
    <w:next w:val="1"/>
    <w:qFormat/>
    <w:uiPriority w:val="99"/>
  </w:style>
  <w:style w:type="paragraph" w:styleId="28">
    <w:name w:val="Subtitle"/>
    <w:basedOn w:val="1"/>
    <w:next w:val="1"/>
    <w:link w:val="56"/>
    <w:qFormat/>
    <w:uiPriority w:val="99"/>
    <w:pPr>
      <w:spacing w:before="240" w:after="60" w:line="312" w:lineRule="auto"/>
      <w:jc w:val="center"/>
      <w:outlineLvl w:val="1"/>
    </w:pPr>
    <w:rPr>
      <w:rFonts w:ascii="Cambria" w:hAnsi="Cambria"/>
      <w:b/>
      <w:bCs/>
      <w:kern w:val="28"/>
      <w:sz w:val="32"/>
      <w:szCs w:val="32"/>
    </w:rPr>
  </w:style>
  <w:style w:type="paragraph" w:styleId="2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0">
    <w:name w:val="Title"/>
    <w:basedOn w:val="1"/>
    <w:next w:val="1"/>
    <w:link w:val="57"/>
    <w:qFormat/>
    <w:uiPriority w:val="99"/>
    <w:pPr>
      <w:spacing w:before="240" w:after="60"/>
      <w:jc w:val="center"/>
      <w:outlineLvl w:val="0"/>
    </w:pPr>
    <w:rPr>
      <w:rFonts w:ascii="Cambria" w:hAnsi="Cambria"/>
      <w:b/>
      <w:bCs/>
      <w:sz w:val="32"/>
      <w:szCs w:val="32"/>
    </w:rPr>
  </w:style>
  <w:style w:type="paragraph" w:styleId="31">
    <w:name w:val="annotation subject"/>
    <w:basedOn w:val="15"/>
    <w:next w:val="15"/>
    <w:link w:val="58"/>
    <w:semiHidden/>
    <w:qFormat/>
    <w:uiPriority w:val="99"/>
    <w:rPr>
      <w:b/>
      <w:bCs/>
    </w:rPr>
  </w:style>
  <w:style w:type="paragraph" w:styleId="32">
    <w:name w:val="Body Text First Indent 2"/>
    <w:basedOn w:val="17"/>
    <w:link w:val="59"/>
    <w:qFormat/>
    <w:locked/>
    <w:uiPriority w:val="99"/>
    <w:pPr>
      <w:ind w:firstLine="420"/>
    </w:pPr>
  </w:style>
  <w:style w:type="table" w:styleId="34">
    <w:name w:val="Table Grid"/>
    <w:basedOn w:val="33"/>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locked/>
    <w:uiPriority w:val="0"/>
    <w:rPr>
      <w:b/>
      <w:bCs/>
    </w:rPr>
  </w:style>
  <w:style w:type="character" w:styleId="37">
    <w:name w:val="FollowedHyperlink"/>
    <w:basedOn w:val="35"/>
    <w:semiHidden/>
    <w:qFormat/>
    <w:uiPriority w:val="99"/>
    <w:rPr>
      <w:rFonts w:cs="Times New Roman"/>
      <w:color w:val="444444"/>
      <w:u w:val="none"/>
    </w:rPr>
  </w:style>
  <w:style w:type="character" w:styleId="38">
    <w:name w:val="Hyperlink"/>
    <w:basedOn w:val="35"/>
    <w:qFormat/>
    <w:uiPriority w:val="99"/>
    <w:rPr>
      <w:rFonts w:cs="Times New Roman"/>
      <w:color w:val="000000"/>
      <w:u w:val="none"/>
    </w:rPr>
  </w:style>
  <w:style w:type="character" w:styleId="39">
    <w:name w:val="HTML Code"/>
    <w:basedOn w:val="35"/>
    <w:semiHidden/>
    <w:unhideWhenUsed/>
    <w:qFormat/>
    <w:locked/>
    <w:uiPriority w:val="99"/>
    <w:rPr>
      <w:rFonts w:hint="default" w:ascii="Consolas" w:hAnsi="Consolas" w:eastAsia="Consolas" w:cs="Consolas"/>
      <w:color w:val="E83E8C"/>
      <w:sz w:val="21"/>
      <w:szCs w:val="21"/>
    </w:rPr>
  </w:style>
  <w:style w:type="character" w:styleId="40">
    <w:name w:val="annotation reference"/>
    <w:basedOn w:val="35"/>
    <w:semiHidden/>
    <w:qFormat/>
    <w:uiPriority w:val="99"/>
    <w:rPr>
      <w:rFonts w:cs="Times New Roman"/>
      <w:sz w:val="21"/>
    </w:rPr>
  </w:style>
  <w:style w:type="character" w:styleId="41">
    <w:name w:val="HTML Keyboard"/>
    <w:basedOn w:val="35"/>
    <w:semiHidden/>
    <w:unhideWhenUsed/>
    <w:qFormat/>
    <w:locked/>
    <w:uiPriority w:val="99"/>
    <w:rPr>
      <w:rFonts w:ascii="Consolas" w:hAnsi="Consolas" w:eastAsia="Consolas" w:cs="Consolas"/>
      <w:color w:val="FFFFFF"/>
      <w:sz w:val="21"/>
      <w:szCs w:val="21"/>
      <w:shd w:val="clear" w:fill="212529"/>
    </w:rPr>
  </w:style>
  <w:style w:type="character" w:styleId="42">
    <w:name w:val="HTML Sample"/>
    <w:basedOn w:val="35"/>
    <w:semiHidden/>
    <w:unhideWhenUsed/>
    <w:qFormat/>
    <w:locked/>
    <w:uiPriority w:val="99"/>
    <w:rPr>
      <w:rFonts w:hint="default" w:ascii="Consolas" w:hAnsi="Consolas" w:eastAsia="Consolas" w:cs="Consolas"/>
      <w:sz w:val="21"/>
      <w:szCs w:val="21"/>
    </w:rPr>
  </w:style>
  <w:style w:type="paragraph" w:customStyle="1" w:styleId="43">
    <w:name w:val="无间隔1"/>
    <w:qFormat/>
    <w:uiPriority w:val="99"/>
    <w:pPr>
      <w:widowControl w:val="0"/>
      <w:jc w:val="both"/>
    </w:pPr>
    <w:rPr>
      <w:rFonts w:ascii="Calibri" w:hAnsi="Calibri" w:eastAsia="宋体" w:cs="Calibri"/>
      <w:kern w:val="2"/>
      <w:sz w:val="21"/>
      <w:szCs w:val="21"/>
      <w:lang w:val="en-US" w:eastAsia="zh-CN" w:bidi="ar-SA"/>
    </w:rPr>
  </w:style>
  <w:style w:type="character" w:customStyle="1" w:styleId="44">
    <w:name w:val="Heading 1 Char"/>
    <w:basedOn w:val="35"/>
    <w:link w:val="11"/>
    <w:qFormat/>
    <w:locked/>
    <w:uiPriority w:val="99"/>
    <w:rPr>
      <w:rFonts w:ascii="Calibri" w:hAnsi="Calibri" w:eastAsia="宋体" w:cs="Times New Roman"/>
      <w:b/>
      <w:kern w:val="44"/>
      <w:sz w:val="44"/>
      <w:lang w:val="zh-CN" w:eastAsia="zh-CN"/>
    </w:rPr>
  </w:style>
  <w:style w:type="character" w:customStyle="1" w:styleId="45">
    <w:name w:val="Heading 2 Char"/>
    <w:basedOn w:val="35"/>
    <w:link w:val="12"/>
    <w:semiHidden/>
    <w:qFormat/>
    <w:locked/>
    <w:uiPriority w:val="99"/>
    <w:rPr>
      <w:rFonts w:ascii="Cambria" w:hAnsi="Cambria" w:eastAsia="宋体" w:cs="Times New Roman"/>
      <w:b/>
      <w:bCs/>
      <w:kern w:val="2"/>
      <w:sz w:val="32"/>
      <w:szCs w:val="32"/>
    </w:rPr>
  </w:style>
  <w:style w:type="character" w:customStyle="1" w:styleId="46">
    <w:name w:val="Heading 3 Char"/>
    <w:basedOn w:val="35"/>
    <w:link w:val="14"/>
    <w:semiHidden/>
    <w:qFormat/>
    <w:locked/>
    <w:uiPriority w:val="99"/>
    <w:rPr>
      <w:rFonts w:ascii="Calibri" w:hAnsi="Calibri" w:cs="Times New Roman"/>
      <w:b/>
      <w:bCs/>
      <w:sz w:val="32"/>
      <w:szCs w:val="32"/>
    </w:rPr>
  </w:style>
  <w:style w:type="character" w:customStyle="1" w:styleId="47">
    <w:name w:val="Comment Text Char"/>
    <w:basedOn w:val="35"/>
    <w:link w:val="15"/>
    <w:semiHidden/>
    <w:qFormat/>
    <w:locked/>
    <w:uiPriority w:val="99"/>
    <w:rPr>
      <w:rFonts w:cs="Times New Roman"/>
      <w:kern w:val="2"/>
      <w:sz w:val="22"/>
      <w:szCs w:val="22"/>
    </w:rPr>
  </w:style>
  <w:style w:type="character" w:customStyle="1" w:styleId="48">
    <w:name w:val="Body Text Char"/>
    <w:basedOn w:val="35"/>
    <w:link w:val="16"/>
    <w:semiHidden/>
    <w:qFormat/>
    <w:locked/>
    <w:uiPriority w:val="99"/>
    <w:rPr>
      <w:rFonts w:ascii="Calibri" w:hAnsi="Calibri" w:cs="Times New Roman"/>
    </w:rPr>
  </w:style>
  <w:style w:type="character" w:customStyle="1" w:styleId="49">
    <w:name w:val="Body Text Indent Char"/>
    <w:basedOn w:val="35"/>
    <w:link w:val="17"/>
    <w:semiHidden/>
    <w:qFormat/>
    <w:locked/>
    <w:uiPriority w:val="99"/>
    <w:rPr>
      <w:rFonts w:ascii="Calibri" w:hAnsi="Calibri" w:cs="Times New Roman"/>
    </w:rPr>
  </w:style>
  <w:style w:type="character" w:customStyle="1" w:styleId="50">
    <w:name w:val="Plain Text Char"/>
    <w:basedOn w:val="35"/>
    <w:link w:val="21"/>
    <w:qFormat/>
    <w:locked/>
    <w:uiPriority w:val="99"/>
    <w:rPr>
      <w:rFonts w:ascii="宋体" w:hAnsi="Courier New" w:eastAsia="宋体" w:cs="Times New Roman"/>
      <w:sz w:val="21"/>
    </w:rPr>
  </w:style>
  <w:style w:type="character" w:customStyle="1" w:styleId="51">
    <w:name w:val="Date Char"/>
    <w:basedOn w:val="35"/>
    <w:link w:val="22"/>
    <w:qFormat/>
    <w:locked/>
    <w:uiPriority w:val="99"/>
    <w:rPr>
      <w:rFonts w:ascii="Times New Roman" w:hAnsi="Times New Roman" w:eastAsia="宋体" w:cs="Times New Roman"/>
      <w:sz w:val="20"/>
    </w:rPr>
  </w:style>
  <w:style w:type="character" w:customStyle="1" w:styleId="52">
    <w:name w:val="Body Text Indent 2 Char"/>
    <w:basedOn w:val="35"/>
    <w:link w:val="23"/>
    <w:semiHidden/>
    <w:qFormat/>
    <w:locked/>
    <w:uiPriority w:val="99"/>
    <w:rPr>
      <w:rFonts w:ascii="Calibri" w:hAnsi="Calibri" w:cs="Times New Roman"/>
    </w:rPr>
  </w:style>
  <w:style w:type="character" w:customStyle="1" w:styleId="53">
    <w:name w:val="Balloon Text Char"/>
    <w:basedOn w:val="35"/>
    <w:link w:val="24"/>
    <w:semiHidden/>
    <w:qFormat/>
    <w:locked/>
    <w:uiPriority w:val="99"/>
    <w:rPr>
      <w:rFonts w:cs="Times New Roman"/>
      <w:kern w:val="2"/>
      <w:sz w:val="18"/>
    </w:rPr>
  </w:style>
  <w:style w:type="character" w:customStyle="1" w:styleId="54">
    <w:name w:val="Footer Char"/>
    <w:basedOn w:val="35"/>
    <w:link w:val="25"/>
    <w:qFormat/>
    <w:locked/>
    <w:uiPriority w:val="99"/>
    <w:rPr>
      <w:rFonts w:ascii="Calibri" w:hAnsi="Calibri" w:eastAsia="宋体" w:cs="Times New Roman"/>
      <w:sz w:val="18"/>
      <w:lang w:val="zh-CN" w:eastAsia="zh-CN"/>
    </w:rPr>
  </w:style>
  <w:style w:type="character" w:customStyle="1" w:styleId="55">
    <w:name w:val="Header Char"/>
    <w:basedOn w:val="35"/>
    <w:link w:val="26"/>
    <w:qFormat/>
    <w:locked/>
    <w:uiPriority w:val="99"/>
    <w:rPr>
      <w:rFonts w:ascii="Calibri" w:hAnsi="Calibri" w:eastAsia="宋体" w:cs="Times New Roman"/>
      <w:sz w:val="18"/>
      <w:lang w:val="zh-CN" w:eastAsia="zh-CN"/>
    </w:rPr>
  </w:style>
  <w:style w:type="character" w:customStyle="1" w:styleId="56">
    <w:name w:val="Subtitle Char"/>
    <w:basedOn w:val="35"/>
    <w:link w:val="28"/>
    <w:qFormat/>
    <w:locked/>
    <w:uiPriority w:val="99"/>
    <w:rPr>
      <w:rFonts w:ascii="Cambria" w:hAnsi="Cambria" w:eastAsia="宋体" w:cs="Times New Roman"/>
      <w:b/>
      <w:kern w:val="28"/>
      <w:sz w:val="32"/>
    </w:rPr>
  </w:style>
  <w:style w:type="character" w:customStyle="1" w:styleId="57">
    <w:name w:val="Title Char"/>
    <w:basedOn w:val="35"/>
    <w:link w:val="30"/>
    <w:qFormat/>
    <w:locked/>
    <w:uiPriority w:val="99"/>
    <w:rPr>
      <w:rFonts w:ascii="Cambria" w:hAnsi="Cambria" w:cs="Times New Roman"/>
      <w:b/>
      <w:bCs/>
      <w:sz w:val="32"/>
      <w:szCs w:val="32"/>
    </w:rPr>
  </w:style>
  <w:style w:type="character" w:customStyle="1" w:styleId="58">
    <w:name w:val="Comment Subject Char"/>
    <w:basedOn w:val="47"/>
    <w:link w:val="31"/>
    <w:semiHidden/>
    <w:qFormat/>
    <w:locked/>
    <w:uiPriority w:val="99"/>
    <w:rPr>
      <w:b/>
      <w:bCs/>
    </w:rPr>
  </w:style>
  <w:style w:type="character" w:customStyle="1" w:styleId="59">
    <w:name w:val="Body Text First Indent 2 Char"/>
    <w:basedOn w:val="49"/>
    <w:link w:val="32"/>
    <w:semiHidden/>
    <w:qFormat/>
    <w:locked/>
    <w:uiPriority w:val="99"/>
  </w:style>
  <w:style w:type="paragraph" w:customStyle="1" w:styleId="60">
    <w:name w:val="正文1"/>
    <w:next w:val="1"/>
    <w:qFormat/>
    <w:uiPriority w:val="99"/>
    <w:rPr>
      <w:rFonts w:ascii="Times New Roman" w:hAnsi="Times New Roman" w:eastAsia="宋体" w:cs="Times New Roman"/>
      <w:kern w:val="0"/>
      <w:sz w:val="20"/>
      <w:szCs w:val="20"/>
      <w:lang w:val="en-US" w:eastAsia="zh-CN" w:bidi="ar-SA"/>
    </w:rPr>
  </w:style>
  <w:style w:type="character" w:customStyle="1" w:styleId="61">
    <w:name w:val="列出段落 Char"/>
    <w:link w:val="62"/>
    <w:qFormat/>
    <w:locked/>
    <w:uiPriority w:val="99"/>
    <w:rPr>
      <w:sz w:val="24"/>
      <w:lang w:eastAsia="en-US"/>
    </w:rPr>
  </w:style>
  <w:style w:type="paragraph" w:customStyle="1" w:styleId="62">
    <w:name w:val="列出段落1"/>
    <w:basedOn w:val="1"/>
    <w:link w:val="61"/>
    <w:qFormat/>
    <w:uiPriority w:val="99"/>
    <w:pPr>
      <w:widowControl/>
      <w:ind w:left="720"/>
      <w:contextualSpacing/>
      <w:jc w:val="left"/>
    </w:pPr>
    <w:rPr>
      <w:rFonts w:ascii="Times New Roman" w:hAnsi="Times New Roman"/>
      <w:kern w:val="0"/>
      <w:sz w:val="24"/>
      <w:szCs w:val="20"/>
      <w:lang w:eastAsia="en-US"/>
    </w:rPr>
  </w:style>
  <w:style w:type="character" w:customStyle="1" w:styleId="63">
    <w:name w:val="日期 Char1"/>
    <w:basedOn w:val="35"/>
    <w:semiHidden/>
    <w:qFormat/>
    <w:uiPriority w:val="99"/>
    <w:rPr>
      <w:rFonts w:cs="Times New Roman"/>
    </w:rPr>
  </w:style>
  <w:style w:type="paragraph" w:customStyle="1" w:styleId="64">
    <w:name w:val="Char"/>
    <w:basedOn w:val="1"/>
    <w:qFormat/>
    <w:uiPriority w:val="99"/>
    <w:pPr>
      <w:tabs>
        <w:tab w:val="left" w:pos="360"/>
      </w:tabs>
      <w:ind w:firstLine="200" w:firstLineChars="200"/>
    </w:pPr>
    <w:rPr>
      <w:rFonts w:ascii="Times New Roman" w:hAnsi="Times New Roman"/>
      <w:sz w:val="28"/>
      <w:szCs w:val="30"/>
    </w:rPr>
  </w:style>
  <w:style w:type="character" w:customStyle="1" w:styleId="65">
    <w:name w:val="副标题 Char1"/>
    <w:qFormat/>
    <w:uiPriority w:val="99"/>
    <w:rPr>
      <w:rFonts w:ascii="Cambria" w:hAnsi="Cambria" w:eastAsia="宋体"/>
      <w:b/>
      <w:kern w:val="28"/>
      <w:sz w:val="32"/>
    </w:rPr>
  </w:style>
  <w:style w:type="paragraph" w:customStyle="1" w:styleId="66">
    <w:name w:val="普通正文"/>
    <w:basedOn w:val="1"/>
    <w:qFormat/>
    <w:uiPriority w:val="99"/>
    <w:pPr>
      <w:adjustRightInd w:val="0"/>
      <w:spacing w:before="120" w:after="120" w:line="360" w:lineRule="auto"/>
      <w:ind w:firstLine="480"/>
      <w:jc w:val="left"/>
      <w:textAlignment w:val="baseline"/>
    </w:pPr>
    <w:rPr>
      <w:rFonts w:ascii="Arial" w:hAnsi="Arial"/>
      <w:kern w:val="0"/>
      <w:sz w:val="24"/>
      <w:szCs w:val="24"/>
    </w:rPr>
  </w:style>
  <w:style w:type="character" w:customStyle="1" w:styleId="67">
    <w:name w:val="纯文本 Char1"/>
    <w:qFormat/>
    <w:uiPriority w:val="99"/>
    <w:rPr>
      <w:rFonts w:ascii="宋体" w:hAnsi="Courier New" w:eastAsia="宋体"/>
      <w:sz w:val="21"/>
    </w:rPr>
  </w:style>
  <w:style w:type="paragraph" w:customStyle="1" w:styleId="68">
    <w:name w:val="列出段落2"/>
    <w:basedOn w:val="1"/>
    <w:qFormat/>
    <w:uiPriority w:val="99"/>
    <w:pPr>
      <w:ind w:firstLine="420" w:firstLineChars="200"/>
    </w:pPr>
    <w:rPr>
      <w:szCs w:val="20"/>
    </w:rPr>
  </w:style>
  <w:style w:type="paragraph" w:customStyle="1" w:styleId="69">
    <w:name w:val="p1"/>
    <w:basedOn w:val="1"/>
    <w:qFormat/>
    <w:uiPriority w:val="99"/>
    <w:pPr>
      <w:spacing w:line="380" w:lineRule="atLeast"/>
      <w:jc w:val="left"/>
    </w:pPr>
    <w:rPr>
      <w:rFonts w:ascii="Helvetica Neue" w:hAnsi="Helvetica Neue"/>
      <w:color w:val="000000"/>
      <w:kern w:val="0"/>
      <w:sz w:val="26"/>
      <w:szCs w:val="26"/>
    </w:rPr>
  </w:style>
  <w:style w:type="paragraph" w:customStyle="1" w:styleId="70">
    <w:name w:val="引用1"/>
    <w:basedOn w:val="1"/>
    <w:next w:val="1"/>
    <w:link w:val="71"/>
    <w:qFormat/>
    <w:uiPriority w:val="99"/>
    <w:rPr>
      <w:i/>
      <w:iCs/>
      <w:color w:val="000000"/>
    </w:rPr>
  </w:style>
  <w:style w:type="character" w:customStyle="1" w:styleId="71">
    <w:name w:val="引用 Char"/>
    <w:basedOn w:val="35"/>
    <w:link w:val="70"/>
    <w:qFormat/>
    <w:locked/>
    <w:uiPriority w:val="99"/>
    <w:rPr>
      <w:rFonts w:cs="Times New Roman"/>
      <w:i/>
      <w:iCs/>
      <w:color w:val="000000"/>
      <w:kern w:val="2"/>
      <w:sz w:val="22"/>
      <w:szCs w:val="22"/>
    </w:rPr>
  </w:style>
  <w:style w:type="paragraph" w:styleId="72">
    <w:name w:val="List Paragraph"/>
    <w:basedOn w:val="1"/>
    <w:qFormat/>
    <w:uiPriority w:val="99"/>
    <w:pPr>
      <w:ind w:firstLine="420" w:firstLineChars="200"/>
    </w:pPr>
  </w:style>
  <w:style w:type="character" w:customStyle="1" w:styleId="73">
    <w:name w:val="Normal Indent Char"/>
    <w:link w:val="13"/>
    <w:qFormat/>
    <w:locked/>
    <w:uiPriority w:val="99"/>
  </w:style>
  <w:style w:type="paragraph" w:customStyle="1" w:styleId="74">
    <w:name w:val="正文_0"/>
    <w:next w:val="1"/>
    <w:qFormat/>
    <w:uiPriority w:val="99"/>
    <w:pPr>
      <w:widowControl w:val="0"/>
      <w:jc w:val="both"/>
    </w:pPr>
    <w:rPr>
      <w:rFonts w:ascii="Calibri" w:hAnsi="Calibri" w:eastAsia="宋体" w:cs="Times New Roman"/>
      <w:kern w:val="2"/>
      <w:sz w:val="21"/>
      <w:szCs w:val="20"/>
      <w:lang w:val="en-US" w:eastAsia="zh-CN" w:bidi="ar-SA"/>
    </w:rPr>
  </w:style>
  <w:style w:type="character" w:customStyle="1" w:styleId="75">
    <w:name w:val="font31"/>
    <w:basedOn w:val="35"/>
    <w:qFormat/>
    <w:uiPriority w:val="99"/>
    <w:rPr>
      <w:rFonts w:ascii="宋体" w:hAnsi="宋体" w:eastAsia="宋体" w:cs="宋体"/>
      <w:color w:val="000000"/>
      <w:sz w:val="22"/>
      <w:szCs w:val="22"/>
      <w:u w:val="none"/>
    </w:rPr>
  </w:style>
  <w:style w:type="paragraph" w:styleId="76">
    <w:name w:val="No Spacing"/>
    <w:qFormat/>
    <w:uiPriority w:val="99"/>
    <w:pPr>
      <w:widowControl w:val="0"/>
      <w:jc w:val="both"/>
    </w:pPr>
    <w:rPr>
      <w:rFonts w:ascii="微软雅黑" w:hAnsi="微软雅黑" w:eastAsia="微软雅黑" w:cs="Arial"/>
      <w:kern w:val="0"/>
      <w:sz w:val="22"/>
      <w:szCs w:val="32"/>
      <w:lang w:val="en-US" w:eastAsia="zh-CN" w:bidi="ar-SA"/>
    </w:rPr>
  </w:style>
  <w:style w:type="paragraph" w:customStyle="1" w:styleId="77">
    <w:name w:val="_Style 2"/>
    <w:basedOn w:val="11"/>
    <w:next w:val="1"/>
    <w:qFormat/>
    <w:uiPriority w:val="99"/>
    <w:pPr>
      <w:outlineLvl w:val="9"/>
    </w:pPr>
    <w:rPr>
      <w:rFonts w:ascii="宋体"/>
    </w:rPr>
  </w:style>
  <w:style w:type="character" w:customStyle="1" w:styleId="78">
    <w:name w:val="Heading 2 Char1"/>
    <w:basedOn w:val="35"/>
    <w:link w:val="12"/>
    <w:qFormat/>
    <w:locked/>
    <w:uiPriority w:val="99"/>
    <w:rPr>
      <w:rFonts w:ascii="Cambria" w:hAnsi="Cambria" w:cs="Times New Roman"/>
      <w:b/>
      <w:bCs/>
      <w:kern w:val="2"/>
      <w:sz w:val="32"/>
      <w:szCs w:val="32"/>
    </w:rPr>
  </w:style>
  <w:style w:type="paragraph" w:customStyle="1" w:styleId="79">
    <w:name w:val="纯文本1"/>
    <w:basedOn w:val="1"/>
    <w:qFormat/>
    <w:uiPriority w:val="99"/>
    <w:pPr>
      <w:adjustRightInd w:val="0"/>
    </w:pPr>
    <w:rPr>
      <w:rFonts w:ascii="宋体" w:hAnsi="Courier New" w:eastAsia="楷体_GB2312"/>
      <w:sz w:val="28"/>
      <w:szCs w:val="20"/>
    </w:rPr>
  </w:style>
  <w:style w:type="character" w:customStyle="1" w:styleId="80">
    <w:name w:val="Char Char9"/>
    <w:basedOn w:val="35"/>
    <w:qFormat/>
    <w:uiPriority w:val="99"/>
    <w:rPr>
      <w:rFonts w:ascii="Cambria" w:hAnsi="Cambria" w:cs="Times New Roman"/>
      <w:b/>
      <w:bCs/>
      <w:kern w:val="2"/>
      <w:sz w:val="32"/>
      <w:szCs w:val="32"/>
    </w:rPr>
  </w:style>
  <w:style w:type="character" w:customStyle="1" w:styleId="81">
    <w:name w:val="Char Char4"/>
    <w:qFormat/>
    <w:uiPriority w:val="99"/>
    <w:rPr>
      <w:rFonts w:ascii="宋体" w:hAnsi="Courier New" w:eastAsia="宋体"/>
      <w:kern w:val="2"/>
      <w:sz w:val="21"/>
      <w:lang w:val="en-US" w:eastAsia="zh-CN"/>
    </w:rPr>
  </w:style>
  <w:style w:type="character" w:customStyle="1" w:styleId="82">
    <w:name w:val="hover12"/>
    <w:basedOn w:val="35"/>
    <w:qFormat/>
    <w:uiPriority w:val="0"/>
    <w:rPr>
      <w:color w:val="FFFFFF"/>
    </w:rPr>
  </w:style>
  <w:style w:type="character" w:customStyle="1" w:styleId="83">
    <w:name w:val="hover13"/>
    <w:basedOn w:val="35"/>
    <w:qFormat/>
    <w:uiPriority w:val="0"/>
    <w:rPr>
      <w:color w:val="5FB878"/>
    </w:rPr>
  </w:style>
  <w:style w:type="character" w:customStyle="1" w:styleId="84">
    <w:name w:val="hover14"/>
    <w:basedOn w:val="35"/>
    <w:qFormat/>
    <w:uiPriority w:val="0"/>
    <w:rPr>
      <w:color w:val="427FDA"/>
    </w:rPr>
  </w:style>
  <w:style w:type="character" w:customStyle="1" w:styleId="85">
    <w:name w:val="hover15"/>
    <w:basedOn w:val="35"/>
    <w:qFormat/>
    <w:uiPriority w:val="0"/>
    <w:rPr>
      <w:color w:val="5FB878"/>
    </w:rPr>
  </w:style>
  <w:style w:type="character" w:customStyle="1" w:styleId="86">
    <w:name w:val="layui-this"/>
    <w:basedOn w:val="35"/>
    <w:qFormat/>
    <w:uiPriority w:val="0"/>
    <w:rPr>
      <w:bdr w:val="single" w:color="EEEEEE" w:sz="4" w:space="0"/>
      <w:shd w:val="clear" w:fill="FFFFFF"/>
    </w:rPr>
  </w:style>
  <w:style w:type="character" w:customStyle="1" w:styleId="87">
    <w:name w:val="first-child"/>
    <w:basedOn w:val="35"/>
    <w:qFormat/>
    <w:uiPriority w:val="0"/>
  </w:style>
  <w:style w:type="character" w:customStyle="1" w:styleId="88">
    <w:name w:val="first-child1"/>
    <w:basedOn w:val="35"/>
    <w:qFormat/>
    <w:uiPriority w:val="0"/>
  </w:style>
  <w:style w:type="character" w:customStyle="1" w:styleId="89">
    <w:name w:val="first-child2"/>
    <w:basedOn w:val="35"/>
    <w:qFormat/>
    <w:uiPriority w:val="0"/>
  </w:style>
  <w:style w:type="character" w:customStyle="1" w:styleId="90">
    <w:name w:val="layui-laypage-curr"/>
    <w:basedOn w:val="3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Microsoft</Company>
  <Pages>67</Pages>
  <Words>26257</Words>
  <Characters>27416</Characters>
  <Lines>0</Lines>
  <Paragraphs>0</Paragraphs>
  <TotalTime>2</TotalTime>
  <ScaleCrop>false</ScaleCrop>
  <LinksUpToDate>false</LinksUpToDate>
  <CharactersWithSpaces>28994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2023-03-23T07:54:00Z</dcterms:created>
  <dc:creator>姜涛</dc:creator>
  <cp:lastModifiedBy>熊宝宝</cp:lastModifiedBy>
  <cp:lastPrinted>2019-12-02T19:49:00Z</cp:lastPrinted>
  <dcterms:modified xsi:type="dcterms:W3CDTF">2026-05-09T11:58:00Z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C12475CF6F0E4471B65DBECFA44CD104</vt:lpwstr>
  </property>
  <property fmtid="{D5CDD505-2E9C-101B-9397-08002B2CF9AE}" pid="4" name="KSOTemplateDocerSaveRecord">
    <vt:lpwstr>eyJoZGlkIjoiNGQzNzFjOGZhMDY4N2Y0YjI3MjU2MzY3ZTQ5MmEyOGUiLCJ1c2VySWQiOiI0MDMwMTIwNDkifQ==</vt:lpwstr>
  </property>
</Properties>
</file>